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F4566E" w14:textId="77777777" w:rsidR="00CC7600" w:rsidRPr="005365CC" w:rsidRDefault="004C55B2" w:rsidP="005918DA">
      <w:pPr>
        <w:spacing w:after="240"/>
        <w:ind w:right="-34"/>
        <w:jc w:val="both"/>
        <w:rPr>
          <w:rFonts w:ascii="Graphik Regular" w:hAnsi="Graphik Regular"/>
          <w:szCs w:val="20"/>
        </w:rPr>
      </w:pPr>
      <w:r w:rsidRPr="005365CC">
        <w:rPr>
          <w:rFonts w:ascii="Graphik Regular" w:hAnsi="Graphik Regular"/>
          <w:szCs w:val="20"/>
        </w:rPr>
        <w:t>Con fundamento en</w:t>
      </w:r>
      <w:r w:rsidR="00266175" w:rsidRPr="005365CC">
        <w:rPr>
          <w:rFonts w:ascii="Graphik Regular" w:hAnsi="Graphik Regular"/>
          <w:szCs w:val="20"/>
        </w:rPr>
        <w:t xml:space="preserve"> el </w:t>
      </w:r>
      <w:commentRangeStart w:id="0"/>
      <w:r w:rsidR="00266175" w:rsidRPr="00833A60">
        <w:rPr>
          <w:rFonts w:ascii="Graphik Regular" w:hAnsi="Graphik Regular"/>
          <w:szCs w:val="20"/>
          <w:highlight w:val="yellow"/>
        </w:rPr>
        <w:t>T</w:t>
      </w:r>
      <w:r w:rsidR="00912D5A" w:rsidRPr="00833A60">
        <w:rPr>
          <w:rFonts w:ascii="Graphik Regular" w:hAnsi="Graphik Regular"/>
          <w:szCs w:val="20"/>
          <w:highlight w:val="yellow"/>
        </w:rPr>
        <w:t>í</w:t>
      </w:r>
      <w:r w:rsidR="00266175" w:rsidRPr="00833A60">
        <w:rPr>
          <w:rFonts w:ascii="Graphik Regular" w:hAnsi="Graphik Regular"/>
          <w:szCs w:val="20"/>
          <w:highlight w:val="yellow"/>
        </w:rPr>
        <w:t>tulo Tercero, Cap</w:t>
      </w:r>
      <w:r w:rsidR="00912D5A" w:rsidRPr="00833A60">
        <w:rPr>
          <w:rFonts w:ascii="Graphik Regular" w:hAnsi="Graphik Regular"/>
          <w:szCs w:val="20"/>
          <w:highlight w:val="yellow"/>
        </w:rPr>
        <w:t>í</w:t>
      </w:r>
      <w:r w:rsidR="00266175" w:rsidRPr="00833A60">
        <w:rPr>
          <w:rFonts w:ascii="Graphik Regular" w:hAnsi="Graphik Regular"/>
          <w:szCs w:val="20"/>
          <w:highlight w:val="yellow"/>
        </w:rPr>
        <w:t xml:space="preserve">tulo II, Numeral 31 de las Disposiciones en Materia de Control Interno, publicadas el 23 de </w:t>
      </w:r>
      <w:proofErr w:type="gramStart"/>
      <w:r w:rsidR="00266175" w:rsidRPr="00833A60">
        <w:rPr>
          <w:rFonts w:ascii="Graphik Regular" w:hAnsi="Graphik Regular"/>
          <w:szCs w:val="20"/>
          <w:highlight w:val="yellow"/>
        </w:rPr>
        <w:t>Noviembre</w:t>
      </w:r>
      <w:proofErr w:type="gramEnd"/>
      <w:r w:rsidR="00266175" w:rsidRPr="00833A60">
        <w:rPr>
          <w:rFonts w:ascii="Graphik Regular" w:hAnsi="Graphik Regular"/>
          <w:szCs w:val="20"/>
          <w:highlight w:val="yellow"/>
        </w:rPr>
        <w:t xml:space="preserve"> de 2017 en el </w:t>
      </w:r>
      <w:r w:rsidR="008B1DE4" w:rsidRPr="00833A60">
        <w:rPr>
          <w:rFonts w:ascii="Graphik Regular" w:hAnsi="Graphik Regular"/>
          <w:szCs w:val="20"/>
          <w:highlight w:val="yellow"/>
        </w:rPr>
        <w:t>Periódico</w:t>
      </w:r>
      <w:r w:rsidR="00266175" w:rsidRPr="00833A60">
        <w:rPr>
          <w:rFonts w:ascii="Graphik Regular" w:hAnsi="Graphik Regular"/>
          <w:szCs w:val="20"/>
          <w:highlight w:val="yellow"/>
        </w:rPr>
        <w:t xml:space="preserve"> Oficial del Estado de Hidalgo</w:t>
      </w:r>
      <w:commentRangeEnd w:id="0"/>
      <w:r w:rsidR="00833A60">
        <w:rPr>
          <w:rStyle w:val="Refdecomentario"/>
        </w:rPr>
        <w:commentReference w:id="0"/>
      </w:r>
      <w:r w:rsidR="00266175" w:rsidRPr="005365CC">
        <w:rPr>
          <w:rFonts w:ascii="Graphik Regular" w:hAnsi="Graphik Regular"/>
          <w:szCs w:val="20"/>
        </w:rPr>
        <w:t xml:space="preserve">, se presenta el Reporte Anual de Comportamiento de los Riesgos de la Secretaría de </w:t>
      </w:r>
      <w:r w:rsidR="008B1DE4">
        <w:rPr>
          <w:rFonts w:ascii="Graphik Regular" w:hAnsi="Graphik Regular"/>
          <w:szCs w:val="20"/>
        </w:rPr>
        <w:t>Contraloría</w:t>
      </w:r>
      <w:r w:rsidR="00290ACD">
        <w:rPr>
          <w:rFonts w:ascii="Graphik Regular" w:hAnsi="Graphik Regular"/>
          <w:szCs w:val="20"/>
        </w:rPr>
        <w:t>.</w:t>
      </w:r>
    </w:p>
    <w:p w14:paraId="56A48650" w14:textId="77777777" w:rsidR="00510DF7" w:rsidRDefault="00266175" w:rsidP="005918DA">
      <w:pPr>
        <w:spacing w:after="240"/>
        <w:ind w:right="-34"/>
        <w:jc w:val="both"/>
        <w:rPr>
          <w:rFonts w:ascii="Graphik Regular" w:hAnsi="Graphik Regular"/>
          <w:b/>
          <w:szCs w:val="20"/>
        </w:rPr>
      </w:pPr>
      <w:r>
        <w:rPr>
          <w:rFonts w:ascii="Graphik Regular" w:hAnsi="Graphik Regular"/>
          <w:b/>
          <w:szCs w:val="20"/>
        </w:rPr>
        <w:t xml:space="preserve">   </w:t>
      </w:r>
    </w:p>
    <w:p w14:paraId="00C1886D" w14:textId="77777777" w:rsidR="00D6664B" w:rsidRPr="00933940" w:rsidRDefault="00933940" w:rsidP="006C32F1">
      <w:pPr>
        <w:pStyle w:val="Prrafodelista"/>
        <w:numPr>
          <w:ilvl w:val="0"/>
          <w:numId w:val="1"/>
        </w:numPr>
        <w:spacing w:after="240"/>
        <w:ind w:right="-34"/>
        <w:jc w:val="both"/>
        <w:rPr>
          <w:rFonts w:ascii="Graphik Regular" w:hAnsi="Graphik Regular"/>
          <w:b/>
          <w:szCs w:val="20"/>
        </w:rPr>
      </w:pPr>
      <w:r w:rsidRPr="00933940">
        <w:rPr>
          <w:rFonts w:ascii="Graphik Regular" w:hAnsi="Graphik Regular"/>
          <w:b/>
          <w:szCs w:val="20"/>
        </w:rPr>
        <w:t>Riesgos con cambios en la valoración final de probabilidad de ocurrencia y grado de impacto, los</w:t>
      </w:r>
      <w:r>
        <w:rPr>
          <w:rFonts w:ascii="Graphik Regular" w:hAnsi="Graphik Regular"/>
          <w:b/>
          <w:szCs w:val="20"/>
        </w:rPr>
        <w:t xml:space="preserve"> m</w:t>
      </w:r>
      <w:r w:rsidRPr="00933940">
        <w:rPr>
          <w:rFonts w:ascii="Graphik Regular" w:hAnsi="Graphik Regular"/>
          <w:b/>
          <w:szCs w:val="20"/>
        </w:rPr>
        <w:t>odificados en su conceptualización y los nuevos riesgos</w:t>
      </w:r>
      <w:r w:rsidR="00D6664B" w:rsidRPr="00933940">
        <w:rPr>
          <w:rFonts w:ascii="Graphik Regular" w:hAnsi="Graphik Regular"/>
          <w:b/>
          <w:szCs w:val="20"/>
        </w:rPr>
        <w:t>:</w:t>
      </w:r>
    </w:p>
    <w:tbl>
      <w:tblPr>
        <w:tblW w:w="9498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shd w:val="clear" w:color="auto" w:fill="009900"/>
        <w:tblLook w:val="04A0" w:firstRow="1" w:lastRow="0" w:firstColumn="1" w:lastColumn="0" w:noHBand="0" w:noVBand="1"/>
      </w:tblPr>
      <w:tblGrid>
        <w:gridCol w:w="2205"/>
        <w:gridCol w:w="1255"/>
        <w:gridCol w:w="1290"/>
        <w:gridCol w:w="2203"/>
        <w:gridCol w:w="1255"/>
        <w:gridCol w:w="1290"/>
      </w:tblGrid>
      <w:tr w:rsidR="006D4803" w:rsidRPr="00293D2E" w14:paraId="141FD99F" w14:textId="77777777" w:rsidTr="00896297">
        <w:trPr>
          <w:trHeight w:val="519"/>
          <w:tblHeader/>
          <w:jc w:val="center"/>
        </w:trPr>
        <w:tc>
          <w:tcPr>
            <w:tcW w:w="2205" w:type="dxa"/>
            <w:vMerge w:val="restart"/>
            <w:shd w:val="clear" w:color="auto" w:fill="000066"/>
            <w:vAlign w:val="center"/>
          </w:tcPr>
          <w:p w14:paraId="1B9B7D84" w14:textId="77777777" w:rsidR="00933940" w:rsidRPr="00787451" w:rsidRDefault="00293D2E" w:rsidP="00787451">
            <w:pPr>
              <w:pStyle w:val="Sinespaciado"/>
              <w:jc w:val="center"/>
              <w:rPr>
                <w:b/>
                <w:color w:val="FFFFFF" w:themeColor="background1"/>
              </w:rPr>
            </w:pPr>
            <w:r w:rsidRPr="00787451">
              <w:rPr>
                <w:b/>
                <w:color w:val="FFFFFF" w:themeColor="background1"/>
                <w:lang w:eastAsia="es-MX"/>
              </w:rPr>
              <w:t>RIESGO</w:t>
            </w:r>
          </w:p>
        </w:tc>
        <w:tc>
          <w:tcPr>
            <w:tcW w:w="2545" w:type="dxa"/>
            <w:gridSpan w:val="2"/>
            <w:shd w:val="clear" w:color="auto" w:fill="000066"/>
            <w:vAlign w:val="center"/>
          </w:tcPr>
          <w:p w14:paraId="372AE21C" w14:textId="4487D7C5" w:rsidR="00933940" w:rsidRPr="00787451" w:rsidRDefault="00293D2E" w:rsidP="00787451">
            <w:pPr>
              <w:pStyle w:val="Sinespaciado"/>
              <w:jc w:val="center"/>
              <w:rPr>
                <w:b/>
                <w:color w:val="FFFFFF" w:themeColor="background1"/>
                <w:sz w:val="14"/>
              </w:rPr>
            </w:pPr>
            <w:r w:rsidRPr="006D4803">
              <w:rPr>
                <w:b/>
                <w:color w:val="FFFFFF" w:themeColor="background1"/>
              </w:rPr>
              <w:t>201</w:t>
            </w:r>
            <w:r w:rsidR="00833A60">
              <w:rPr>
                <w:b/>
                <w:color w:val="FFFFFF" w:themeColor="background1"/>
              </w:rPr>
              <w:t>9</w:t>
            </w:r>
          </w:p>
        </w:tc>
        <w:tc>
          <w:tcPr>
            <w:tcW w:w="2203" w:type="dxa"/>
            <w:vMerge w:val="restart"/>
            <w:shd w:val="clear" w:color="auto" w:fill="000066"/>
            <w:vAlign w:val="center"/>
          </w:tcPr>
          <w:p w14:paraId="03311126" w14:textId="77777777" w:rsidR="00933940" w:rsidRPr="00787451" w:rsidRDefault="00293D2E" w:rsidP="00787451">
            <w:pPr>
              <w:pStyle w:val="Sinespaciado"/>
              <w:jc w:val="center"/>
              <w:rPr>
                <w:b/>
                <w:color w:val="FFFFFF" w:themeColor="background1"/>
                <w:sz w:val="14"/>
              </w:rPr>
            </w:pPr>
            <w:r w:rsidRPr="00F562D6">
              <w:rPr>
                <w:b/>
                <w:color w:val="FFFFFF" w:themeColor="background1"/>
              </w:rPr>
              <w:t>RIESGO</w:t>
            </w:r>
          </w:p>
        </w:tc>
        <w:tc>
          <w:tcPr>
            <w:tcW w:w="2545" w:type="dxa"/>
            <w:gridSpan w:val="2"/>
            <w:shd w:val="clear" w:color="auto" w:fill="000066"/>
            <w:vAlign w:val="center"/>
          </w:tcPr>
          <w:p w14:paraId="0C6B86D2" w14:textId="100C6142" w:rsidR="00933940" w:rsidRPr="00787451" w:rsidRDefault="00293D2E" w:rsidP="00787451">
            <w:pPr>
              <w:pStyle w:val="Sinespaciado"/>
              <w:jc w:val="center"/>
              <w:rPr>
                <w:b/>
                <w:color w:val="FFFFFF" w:themeColor="background1"/>
                <w:sz w:val="14"/>
              </w:rPr>
            </w:pPr>
            <w:r w:rsidRPr="006D4803">
              <w:rPr>
                <w:b/>
                <w:color w:val="FFFFFF" w:themeColor="background1"/>
              </w:rPr>
              <w:t>20</w:t>
            </w:r>
            <w:r w:rsidR="00833A60">
              <w:rPr>
                <w:b/>
                <w:color w:val="FFFFFF" w:themeColor="background1"/>
              </w:rPr>
              <w:t>20</w:t>
            </w:r>
          </w:p>
        </w:tc>
      </w:tr>
      <w:tr w:rsidR="00787451" w:rsidRPr="00293D2E" w14:paraId="1D9A4B2F" w14:textId="77777777" w:rsidTr="00896297">
        <w:trPr>
          <w:trHeight w:val="603"/>
          <w:tblHeader/>
          <w:jc w:val="center"/>
        </w:trPr>
        <w:tc>
          <w:tcPr>
            <w:tcW w:w="2205" w:type="dxa"/>
            <w:vMerge/>
            <w:shd w:val="clear" w:color="auto" w:fill="009900"/>
          </w:tcPr>
          <w:p w14:paraId="24EC5D21" w14:textId="77777777" w:rsidR="00933940" w:rsidRPr="00787451" w:rsidRDefault="00933940" w:rsidP="00787451">
            <w:pPr>
              <w:pStyle w:val="Sinespaciado"/>
              <w:jc w:val="center"/>
              <w:rPr>
                <w:b/>
                <w:color w:val="FFFFFF" w:themeColor="background1"/>
              </w:rPr>
            </w:pPr>
          </w:p>
        </w:tc>
        <w:tc>
          <w:tcPr>
            <w:tcW w:w="1255" w:type="dxa"/>
            <w:shd w:val="clear" w:color="auto" w:fill="FF0000"/>
            <w:vAlign w:val="center"/>
          </w:tcPr>
          <w:p w14:paraId="1ABD844F" w14:textId="77777777" w:rsidR="00933940" w:rsidRPr="00787451" w:rsidRDefault="00293D2E" w:rsidP="00787451">
            <w:pPr>
              <w:pStyle w:val="Sinespaciado"/>
              <w:jc w:val="center"/>
              <w:rPr>
                <w:b/>
                <w:color w:val="FFFFFF" w:themeColor="background1"/>
                <w:sz w:val="14"/>
              </w:rPr>
            </w:pPr>
            <w:r w:rsidRPr="00787451">
              <w:rPr>
                <w:b/>
                <w:color w:val="FFFFFF" w:themeColor="background1"/>
                <w:sz w:val="14"/>
              </w:rPr>
              <w:t>GRADO DE IMPACTO</w:t>
            </w:r>
          </w:p>
        </w:tc>
        <w:tc>
          <w:tcPr>
            <w:tcW w:w="1290" w:type="dxa"/>
            <w:shd w:val="clear" w:color="auto" w:fill="FFFF00"/>
            <w:vAlign w:val="center"/>
          </w:tcPr>
          <w:p w14:paraId="73898733" w14:textId="77777777" w:rsidR="00933940" w:rsidRPr="003D39BE" w:rsidRDefault="00293D2E" w:rsidP="00787451">
            <w:pPr>
              <w:pStyle w:val="Sinespaciado"/>
              <w:jc w:val="center"/>
              <w:rPr>
                <w:b/>
                <w:sz w:val="14"/>
              </w:rPr>
            </w:pPr>
            <w:r w:rsidRPr="003D39BE">
              <w:rPr>
                <w:b/>
                <w:sz w:val="14"/>
              </w:rPr>
              <w:t>GRADO DE PROBABILIDAD</w:t>
            </w:r>
          </w:p>
        </w:tc>
        <w:tc>
          <w:tcPr>
            <w:tcW w:w="2203" w:type="dxa"/>
            <w:vMerge/>
            <w:shd w:val="clear" w:color="auto" w:fill="009900"/>
          </w:tcPr>
          <w:p w14:paraId="7E14B66F" w14:textId="77777777" w:rsidR="00933940" w:rsidRPr="00787451" w:rsidRDefault="00933940" w:rsidP="00787451">
            <w:pPr>
              <w:pStyle w:val="Sinespaciado"/>
              <w:jc w:val="center"/>
              <w:rPr>
                <w:b/>
                <w:color w:val="FFFFFF" w:themeColor="background1"/>
                <w:sz w:val="14"/>
              </w:rPr>
            </w:pPr>
          </w:p>
        </w:tc>
        <w:tc>
          <w:tcPr>
            <w:tcW w:w="1255" w:type="dxa"/>
            <w:shd w:val="clear" w:color="auto" w:fill="FF0000"/>
            <w:vAlign w:val="center"/>
          </w:tcPr>
          <w:p w14:paraId="7BA7AF24" w14:textId="77777777" w:rsidR="00933940" w:rsidRPr="00787451" w:rsidRDefault="00293D2E" w:rsidP="00787451">
            <w:pPr>
              <w:pStyle w:val="Sinespaciado"/>
              <w:jc w:val="center"/>
              <w:rPr>
                <w:b/>
                <w:color w:val="FFFFFF" w:themeColor="background1"/>
                <w:sz w:val="14"/>
              </w:rPr>
            </w:pPr>
            <w:r w:rsidRPr="00787451">
              <w:rPr>
                <w:b/>
                <w:color w:val="FFFFFF" w:themeColor="background1"/>
                <w:sz w:val="14"/>
              </w:rPr>
              <w:t>GRADO DE IMPACTO</w:t>
            </w:r>
          </w:p>
        </w:tc>
        <w:tc>
          <w:tcPr>
            <w:tcW w:w="1290" w:type="dxa"/>
            <w:shd w:val="clear" w:color="auto" w:fill="FFFF00"/>
            <w:vAlign w:val="center"/>
          </w:tcPr>
          <w:p w14:paraId="6AF6EACB" w14:textId="77777777" w:rsidR="00933940" w:rsidRPr="003D39BE" w:rsidRDefault="00293D2E" w:rsidP="00787451">
            <w:pPr>
              <w:pStyle w:val="Sinespaciado"/>
              <w:jc w:val="center"/>
              <w:rPr>
                <w:b/>
                <w:sz w:val="14"/>
              </w:rPr>
            </w:pPr>
            <w:r w:rsidRPr="003D39BE">
              <w:rPr>
                <w:b/>
                <w:sz w:val="14"/>
              </w:rPr>
              <w:t>GRADO DE PROBABILIDAD</w:t>
            </w:r>
          </w:p>
        </w:tc>
      </w:tr>
      <w:tr w:rsidR="006D4803" w:rsidRPr="00293D2E" w14:paraId="4600D360" w14:textId="77777777" w:rsidTr="00A973D0">
        <w:trPr>
          <w:jc w:val="center"/>
        </w:trPr>
        <w:tc>
          <w:tcPr>
            <w:tcW w:w="2205" w:type="dxa"/>
            <w:shd w:val="clear" w:color="auto" w:fill="FFFFFF" w:themeFill="background1"/>
          </w:tcPr>
          <w:p w14:paraId="43431108" w14:textId="77777777" w:rsidR="006D4803" w:rsidRPr="00787451" w:rsidRDefault="006D4803" w:rsidP="006D4803">
            <w:pPr>
              <w:pStyle w:val="Sinespaciado"/>
              <w:jc w:val="both"/>
              <w:rPr>
                <w:rFonts w:asciiTheme="majorHAnsi" w:hAnsiTheme="majorHAnsi" w:cstheme="majorHAnsi"/>
                <w:sz w:val="16"/>
                <w:highlight w:val="yellow"/>
              </w:rPr>
            </w:pPr>
            <w:r w:rsidRPr="00787451">
              <w:rPr>
                <w:rFonts w:asciiTheme="majorHAnsi" w:hAnsiTheme="majorHAnsi" w:cstheme="majorHAnsi"/>
                <w:sz w:val="16"/>
                <w:lang w:eastAsia="es-MX"/>
              </w:rPr>
              <w:t>Acciones de vigilancia y evaluación de entidades paraestatales realizadas sin una metodología homogénea por parte de comisarios públicos incumpliendo con el objetivo estratégico de "</w:t>
            </w:r>
            <w:proofErr w:type="gramStart"/>
            <w:r w:rsidRPr="00787451">
              <w:rPr>
                <w:rFonts w:asciiTheme="majorHAnsi" w:hAnsiTheme="majorHAnsi" w:cstheme="majorHAnsi"/>
                <w:sz w:val="16"/>
                <w:lang w:eastAsia="es-MX"/>
              </w:rPr>
              <w:t>Cero tolerancia</w:t>
            </w:r>
            <w:proofErr w:type="gramEnd"/>
            <w:r w:rsidRPr="00787451">
              <w:rPr>
                <w:rFonts w:asciiTheme="majorHAnsi" w:hAnsiTheme="majorHAnsi" w:cstheme="majorHAnsi"/>
                <w:sz w:val="16"/>
                <w:lang w:eastAsia="es-MX"/>
              </w:rPr>
              <w:t xml:space="preserve"> a la corrupción".</w:t>
            </w:r>
          </w:p>
        </w:tc>
        <w:tc>
          <w:tcPr>
            <w:tcW w:w="1255" w:type="dxa"/>
            <w:shd w:val="clear" w:color="auto" w:fill="FFFFFF" w:themeFill="background1"/>
            <w:vAlign w:val="center"/>
          </w:tcPr>
          <w:p w14:paraId="7EF13A44" w14:textId="77777777" w:rsidR="006D4803" w:rsidRPr="00293D2E" w:rsidRDefault="006D4803" w:rsidP="006D4803">
            <w:pPr>
              <w:pStyle w:val="Sinespaciado"/>
              <w:jc w:val="center"/>
              <w:rPr>
                <w:sz w:val="16"/>
                <w:highlight w:val="yellow"/>
              </w:rPr>
            </w:pPr>
            <w:r w:rsidRPr="00787451">
              <w:rPr>
                <w:sz w:val="16"/>
              </w:rPr>
              <w:t>8</w:t>
            </w:r>
          </w:p>
        </w:tc>
        <w:tc>
          <w:tcPr>
            <w:tcW w:w="1290" w:type="dxa"/>
            <w:shd w:val="clear" w:color="auto" w:fill="FFFFFF" w:themeFill="background1"/>
            <w:vAlign w:val="center"/>
          </w:tcPr>
          <w:p w14:paraId="07554528" w14:textId="77777777" w:rsidR="006D4803" w:rsidRPr="006D4803" w:rsidRDefault="006D4803" w:rsidP="006D4803">
            <w:pPr>
              <w:pStyle w:val="Sinespaciado"/>
              <w:jc w:val="center"/>
              <w:rPr>
                <w:sz w:val="16"/>
              </w:rPr>
            </w:pPr>
            <w:r w:rsidRPr="006D4803">
              <w:rPr>
                <w:sz w:val="16"/>
              </w:rPr>
              <w:t>9</w:t>
            </w:r>
          </w:p>
        </w:tc>
        <w:tc>
          <w:tcPr>
            <w:tcW w:w="2203" w:type="dxa"/>
            <w:shd w:val="clear" w:color="auto" w:fill="FFFFFF" w:themeFill="background1"/>
          </w:tcPr>
          <w:p w14:paraId="6D4ACC25" w14:textId="77777777" w:rsidR="006D4803" w:rsidRPr="00293D2E" w:rsidRDefault="006D4803" w:rsidP="006D4803">
            <w:pPr>
              <w:pStyle w:val="Sinespaciado"/>
              <w:jc w:val="both"/>
              <w:rPr>
                <w:sz w:val="16"/>
                <w:highlight w:val="yellow"/>
              </w:rPr>
            </w:pPr>
            <w:r w:rsidRPr="00787451">
              <w:rPr>
                <w:rFonts w:asciiTheme="majorHAnsi" w:hAnsiTheme="majorHAnsi" w:cstheme="majorHAnsi"/>
                <w:sz w:val="16"/>
                <w:lang w:eastAsia="es-MX"/>
              </w:rPr>
              <w:t>Acciones de vigilancia y evaluación de entidades paraestatales realizadas sin una metodología homogénea por parte de comisarios públicos incumpliendo con el objetivo estratégico de "</w:t>
            </w:r>
            <w:proofErr w:type="gramStart"/>
            <w:r w:rsidRPr="00787451">
              <w:rPr>
                <w:rFonts w:asciiTheme="majorHAnsi" w:hAnsiTheme="majorHAnsi" w:cstheme="majorHAnsi"/>
                <w:sz w:val="16"/>
                <w:lang w:eastAsia="es-MX"/>
              </w:rPr>
              <w:t>Cero tolerancia</w:t>
            </w:r>
            <w:proofErr w:type="gramEnd"/>
            <w:r w:rsidRPr="00787451">
              <w:rPr>
                <w:rFonts w:asciiTheme="majorHAnsi" w:hAnsiTheme="majorHAnsi" w:cstheme="majorHAnsi"/>
                <w:sz w:val="16"/>
                <w:lang w:eastAsia="es-MX"/>
              </w:rPr>
              <w:t xml:space="preserve"> a la corrupción".</w:t>
            </w:r>
          </w:p>
        </w:tc>
        <w:tc>
          <w:tcPr>
            <w:tcW w:w="1255" w:type="dxa"/>
            <w:shd w:val="clear" w:color="auto" w:fill="FFFFFF" w:themeFill="background1"/>
            <w:vAlign w:val="center"/>
          </w:tcPr>
          <w:p w14:paraId="6986A59E" w14:textId="77777777" w:rsidR="006D4803" w:rsidRPr="00293D2E" w:rsidRDefault="006D4803" w:rsidP="006D4803">
            <w:pPr>
              <w:pStyle w:val="Sinespaciado"/>
              <w:jc w:val="center"/>
              <w:rPr>
                <w:sz w:val="16"/>
                <w:highlight w:val="yellow"/>
              </w:rPr>
            </w:pPr>
            <w:r w:rsidRPr="00787451">
              <w:rPr>
                <w:sz w:val="16"/>
              </w:rPr>
              <w:t>8</w:t>
            </w:r>
          </w:p>
        </w:tc>
        <w:tc>
          <w:tcPr>
            <w:tcW w:w="1290" w:type="dxa"/>
            <w:shd w:val="clear" w:color="auto" w:fill="FFFFFF" w:themeFill="background1"/>
            <w:vAlign w:val="center"/>
          </w:tcPr>
          <w:p w14:paraId="6D8C9A1A" w14:textId="77777777" w:rsidR="006D4803" w:rsidRPr="006D4803" w:rsidRDefault="006D4803" w:rsidP="006D4803">
            <w:pPr>
              <w:pStyle w:val="Sinespaciado"/>
              <w:jc w:val="center"/>
              <w:rPr>
                <w:sz w:val="16"/>
              </w:rPr>
            </w:pPr>
            <w:r w:rsidRPr="006D4803">
              <w:rPr>
                <w:sz w:val="16"/>
              </w:rPr>
              <w:t>9</w:t>
            </w:r>
          </w:p>
        </w:tc>
      </w:tr>
      <w:tr w:rsidR="006D4803" w:rsidRPr="00293D2E" w14:paraId="1F0079C3" w14:textId="77777777" w:rsidTr="00A973D0">
        <w:trPr>
          <w:jc w:val="center"/>
        </w:trPr>
        <w:tc>
          <w:tcPr>
            <w:tcW w:w="2205" w:type="dxa"/>
            <w:shd w:val="clear" w:color="auto" w:fill="FFFFFF" w:themeFill="background1"/>
          </w:tcPr>
          <w:p w14:paraId="28B9F480" w14:textId="77777777" w:rsidR="006D4803" w:rsidRPr="00787451" w:rsidRDefault="006D4803" w:rsidP="006D4803">
            <w:pPr>
              <w:pStyle w:val="Sinespaciado"/>
              <w:jc w:val="both"/>
              <w:rPr>
                <w:rFonts w:asciiTheme="majorHAnsi" w:hAnsiTheme="majorHAnsi" w:cstheme="majorHAnsi"/>
                <w:sz w:val="16"/>
                <w:highlight w:val="yellow"/>
              </w:rPr>
            </w:pPr>
            <w:r w:rsidRPr="00787451">
              <w:rPr>
                <w:rFonts w:asciiTheme="majorHAnsi" w:hAnsiTheme="majorHAnsi" w:cstheme="majorHAnsi"/>
                <w:sz w:val="16"/>
                <w:lang w:eastAsia="es-MX"/>
              </w:rPr>
              <w:t>Información incompleta, deficiente o desactualizada de los Servidores Públicos obligados a presentar Declaración Patrimonial.</w:t>
            </w:r>
          </w:p>
        </w:tc>
        <w:tc>
          <w:tcPr>
            <w:tcW w:w="1255" w:type="dxa"/>
            <w:shd w:val="clear" w:color="auto" w:fill="FFFFFF" w:themeFill="background1"/>
            <w:vAlign w:val="center"/>
          </w:tcPr>
          <w:p w14:paraId="00E59830" w14:textId="77777777" w:rsidR="006D4803" w:rsidRPr="00293D2E" w:rsidRDefault="006D4803" w:rsidP="006D4803">
            <w:pPr>
              <w:pStyle w:val="Sinespaciado"/>
              <w:jc w:val="center"/>
              <w:rPr>
                <w:sz w:val="16"/>
                <w:highlight w:val="yellow"/>
              </w:rPr>
            </w:pPr>
            <w:r w:rsidRPr="00787451">
              <w:rPr>
                <w:sz w:val="16"/>
              </w:rPr>
              <w:t>7</w:t>
            </w:r>
          </w:p>
        </w:tc>
        <w:tc>
          <w:tcPr>
            <w:tcW w:w="1290" w:type="dxa"/>
            <w:shd w:val="clear" w:color="auto" w:fill="FFFFFF" w:themeFill="background1"/>
            <w:vAlign w:val="center"/>
          </w:tcPr>
          <w:p w14:paraId="030C1A12" w14:textId="77777777" w:rsidR="006D4803" w:rsidRPr="006D4803" w:rsidRDefault="006D4803" w:rsidP="006D4803">
            <w:pPr>
              <w:pStyle w:val="Sinespaciado"/>
              <w:jc w:val="center"/>
              <w:rPr>
                <w:sz w:val="16"/>
              </w:rPr>
            </w:pPr>
            <w:r w:rsidRPr="006D4803">
              <w:rPr>
                <w:sz w:val="16"/>
              </w:rPr>
              <w:t>5</w:t>
            </w:r>
          </w:p>
        </w:tc>
        <w:tc>
          <w:tcPr>
            <w:tcW w:w="2203" w:type="dxa"/>
            <w:shd w:val="clear" w:color="auto" w:fill="FFFFFF" w:themeFill="background1"/>
          </w:tcPr>
          <w:p w14:paraId="0250D399" w14:textId="77777777" w:rsidR="006D4803" w:rsidRPr="00293D2E" w:rsidRDefault="006D4803" w:rsidP="006D4803">
            <w:pPr>
              <w:pStyle w:val="Sinespaciado"/>
              <w:jc w:val="both"/>
              <w:rPr>
                <w:sz w:val="16"/>
                <w:highlight w:val="yellow"/>
              </w:rPr>
            </w:pPr>
            <w:r w:rsidRPr="00787451">
              <w:rPr>
                <w:rFonts w:asciiTheme="majorHAnsi" w:hAnsiTheme="majorHAnsi" w:cstheme="majorHAnsi"/>
                <w:sz w:val="16"/>
                <w:lang w:eastAsia="es-MX"/>
              </w:rPr>
              <w:t>Información incompleta, deficiente o desactualizada de los Servidores Públicos obligados a presentar Declaración Patrimonial.</w:t>
            </w:r>
          </w:p>
        </w:tc>
        <w:tc>
          <w:tcPr>
            <w:tcW w:w="1255" w:type="dxa"/>
            <w:shd w:val="clear" w:color="auto" w:fill="FFFFFF" w:themeFill="background1"/>
            <w:vAlign w:val="center"/>
          </w:tcPr>
          <w:p w14:paraId="71D25640" w14:textId="77777777" w:rsidR="006D4803" w:rsidRPr="00293D2E" w:rsidRDefault="006D4803" w:rsidP="006D4803">
            <w:pPr>
              <w:pStyle w:val="Sinespaciado"/>
              <w:jc w:val="center"/>
              <w:rPr>
                <w:sz w:val="16"/>
                <w:highlight w:val="yellow"/>
              </w:rPr>
            </w:pPr>
            <w:r w:rsidRPr="00787451">
              <w:rPr>
                <w:sz w:val="16"/>
              </w:rPr>
              <w:t>7</w:t>
            </w:r>
          </w:p>
        </w:tc>
        <w:tc>
          <w:tcPr>
            <w:tcW w:w="1290" w:type="dxa"/>
            <w:shd w:val="clear" w:color="auto" w:fill="FFFFFF" w:themeFill="background1"/>
            <w:vAlign w:val="center"/>
          </w:tcPr>
          <w:p w14:paraId="2D43D99F" w14:textId="77777777" w:rsidR="006D4803" w:rsidRPr="006D4803" w:rsidRDefault="006D4803" w:rsidP="006D4803">
            <w:pPr>
              <w:pStyle w:val="Sinespaciado"/>
              <w:jc w:val="center"/>
              <w:rPr>
                <w:sz w:val="16"/>
              </w:rPr>
            </w:pPr>
            <w:r w:rsidRPr="006D4803">
              <w:rPr>
                <w:sz w:val="16"/>
              </w:rPr>
              <w:t>5</w:t>
            </w:r>
          </w:p>
        </w:tc>
      </w:tr>
      <w:tr w:rsidR="006D4803" w:rsidRPr="00293D2E" w14:paraId="71AF8C7B" w14:textId="77777777" w:rsidTr="00A973D0">
        <w:trPr>
          <w:jc w:val="center"/>
        </w:trPr>
        <w:tc>
          <w:tcPr>
            <w:tcW w:w="2205" w:type="dxa"/>
            <w:shd w:val="clear" w:color="auto" w:fill="FFFFFF" w:themeFill="background1"/>
          </w:tcPr>
          <w:p w14:paraId="704BEEE0" w14:textId="77777777" w:rsidR="006D4803" w:rsidRPr="00787451" w:rsidRDefault="006D4803" w:rsidP="006D4803">
            <w:pPr>
              <w:pStyle w:val="Sinespaciado"/>
              <w:jc w:val="both"/>
              <w:rPr>
                <w:rFonts w:asciiTheme="majorHAnsi" w:hAnsiTheme="majorHAnsi" w:cstheme="majorHAnsi"/>
                <w:sz w:val="16"/>
                <w:highlight w:val="yellow"/>
              </w:rPr>
            </w:pPr>
            <w:r w:rsidRPr="00787451">
              <w:rPr>
                <w:rFonts w:asciiTheme="majorHAnsi" w:hAnsiTheme="majorHAnsi" w:cstheme="majorHAnsi"/>
                <w:sz w:val="16"/>
                <w:lang w:eastAsia="es-MX"/>
              </w:rPr>
              <w:t>Atención de observaciones derivadas de revisiones, acciones y obras públicas con mecanismos implementados de forma deficiente.</w:t>
            </w:r>
          </w:p>
        </w:tc>
        <w:tc>
          <w:tcPr>
            <w:tcW w:w="1255" w:type="dxa"/>
            <w:shd w:val="clear" w:color="auto" w:fill="FFFFFF" w:themeFill="background1"/>
            <w:vAlign w:val="center"/>
          </w:tcPr>
          <w:p w14:paraId="2C17FAB1" w14:textId="77777777" w:rsidR="006D4803" w:rsidRPr="00787451" w:rsidRDefault="006D4803" w:rsidP="006D4803">
            <w:pPr>
              <w:pStyle w:val="Sinespaciado"/>
              <w:jc w:val="center"/>
              <w:rPr>
                <w:sz w:val="16"/>
              </w:rPr>
            </w:pPr>
            <w:r w:rsidRPr="00787451">
              <w:rPr>
                <w:sz w:val="16"/>
              </w:rPr>
              <w:t>10</w:t>
            </w:r>
          </w:p>
        </w:tc>
        <w:tc>
          <w:tcPr>
            <w:tcW w:w="1290" w:type="dxa"/>
            <w:shd w:val="clear" w:color="auto" w:fill="FFFFFF" w:themeFill="background1"/>
            <w:vAlign w:val="center"/>
          </w:tcPr>
          <w:p w14:paraId="2EF920C2" w14:textId="77777777" w:rsidR="006D4803" w:rsidRPr="006D4803" w:rsidRDefault="006D4803" w:rsidP="006D4803">
            <w:pPr>
              <w:pStyle w:val="Sinespaciado"/>
              <w:jc w:val="center"/>
              <w:rPr>
                <w:sz w:val="16"/>
              </w:rPr>
            </w:pPr>
            <w:r w:rsidRPr="006D4803">
              <w:rPr>
                <w:sz w:val="16"/>
              </w:rPr>
              <w:t>6</w:t>
            </w:r>
          </w:p>
        </w:tc>
        <w:tc>
          <w:tcPr>
            <w:tcW w:w="2203" w:type="dxa"/>
            <w:shd w:val="clear" w:color="auto" w:fill="FFFFFF" w:themeFill="background1"/>
          </w:tcPr>
          <w:p w14:paraId="266A7EC1" w14:textId="77777777" w:rsidR="006D4803" w:rsidRPr="00293D2E" w:rsidRDefault="006D4803" w:rsidP="006D4803">
            <w:pPr>
              <w:pStyle w:val="Sinespaciado"/>
              <w:jc w:val="both"/>
              <w:rPr>
                <w:sz w:val="16"/>
                <w:highlight w:val="yellow"/>
              </w:rPr>
            </w:pPr>
            <w:r w:rsidRPr="00787451">
              <w:rPr>
                <w:rFonts w:asciiTheme="majorHAnsi" w:hAnsiTheme="majorHAnsi" w:cstheme="majorHAnsi"/>
                <w:sz w:val="16"/>
                <w:lang w:eastAsia="es-MX"/>
              </w:rPr>
              <w:t>Atención de observaciones derivadas de revisiones, acciones y obras públicas con mecanismos implementados de forma deficiente.</w:t>
            </w:r>
          </w:p>
        </w:tc>
        <w:tc>
          <w:tcPr>
            <w:tcW w:w="1255" w:type="dxa"/>
            <w:shd w:val="clear" w:color="auto" w:fill="FFFFFF" w:themeFill="background1"/>
            <w:vAlign w:val="center"/>
          </w:tcPr>
          <w:p w14:paraId="5E8D8881" w14:textId="77777777" w:rsidR="006D4803" w:rsidRPr="00787451" w:rsidRDefault="006D4803" w:rsidP="006D4803">
            <w:pPr>
              <w:pStyle w:val="Sinespaciado"/>
              <w:jc w:val="center"/>
              <w:rPr>
                <w:sz w:val="16"/>
              </w:rPr>
            </w:pPr>
            <w:r w:rsidRPr="00787451">
              <w:rPr>
                <w:sz w:val="16"/>
              </w:rPr>
              <w:t>10</w:t>
            </w:r>
          </w:p>
        </w:tc>
        <w:tc>
          <w:tcPr>
            <w:tcW w:w="1290" w:type="dxa"/>
            <w:shd w:val="clear" w:color="auto" w:fill="FFFFFF" w:themeFill="background1"/>
            <w:vAlign w:val="center"/>
          </w:tcPr>
          <w:p w14:paraId="76BAA742" w14:textId="77777777" w:rsidR="006D4803" w:rsidRPr="006D4803" w:rsidRDefault="006D4803" w:rsidP="006D4803">
            <w:pPr>
              <w:pStyle w:val="Sinespaciado"/>
              <w:jc w:val="center"/>
              <w:rPr>
                <w:sz w:val="16"/>
              </w:rPr>
            </w:pPr>
            <w:r w:rsidRPr="006D4803">
              <w:rPr>
                <w:sz w:val="16"/>
              </w:rPr>
              <w:t>6</w:t>
            </w:r>
          </w:p>
        </w:tc>
      </w:tr>
      <w:tr w:rsidR="006D4803" w:rsidRPr="00293D2E" w14:paraId="0EB9F795" w14:textId="77777777" w:rsidTr="00A973D0">
        <w:trPr>
          <w:jc w:val="center"/>
        </w:trPr>
        <w:tc>
          <w:tcPr>
            <w:tcW w:w="2205" w:type="dxa"/>
            <w:shd w:val="clear" w:color="auto" w:fill="FFFFFF" w:themeFill="background1"/>
          </w:tcPr>
          <w:p w14:paraId="76AD2E1C" w14:textId="77777777" w:rsidR="006D4803" w:rsidRPr="00787451" w:rsidRDefault="006D4803" w:rsidP="006D4803">
            <w:pPr>
              <w:pStyle w:val="Sinespaciado"/>
              <w:jc w:val="both"/>
              <w:rPr>
                <w:rFonts w:asciiTheme="majorHAnsi" w:hAnsiTheme="majorHAnsi" w:cstheme="majorHAnsi"/>
                <w:sz w:val="16"/>
                <w:highlight w:val="yellow"/>
              </w:rPr>
            </w:pPr>
            <w:r w:rsidRPr="00787451">
              <w:rPr>
                <w:rFonts w:asciiTheme="majorHAnsi" w:hAnsiTheme="majorHAnsi" w:cstheme="majorHAnsi"/>
                <w:sz w:val="16"/>
                <w:lang w:eastAsia="es-MX"/>
              </w:rPr>
              <w:t>Información publicada sin garantizar que sea accesible, confiable, verificable, veraz y oportuna.</w:t>
            </w:r>
          </w:p>
        </w:tc>
        <w:tc>
          <w:tcPr>
            <w:tcW w:w="1255" w:type="dxa"/>
            <w:shd w:val="clear" w:color="auto" w:fill="FFFFFF" w:themeFill="background1"/>
            <w:vAlign w:val="center"/>
          </w:tcPr>
          <w:p w14:paraId="6CCEE9DF" w14:textId="77777777" w:rsidR="006D4803" w:rsidRPr="00787451" w:rsidRDefault="006D4803" w:rsidP="006D4803">
            <w:pPr>
              <w:pStyle w:val="Sinespaciado"/>
              <w:jc w:val="center"/>
              <w:rPr>
                <w:sz w:val="16"/>
              </w:rPr>
            </w:pPr>
            <w:r w:rsidRPr="00787451">
              <w:rPr>
                <w:sz w:val="16"/>
              </w:rPr>
              <w:t>5</w:t>
            </w:r>
          </w:p>
        </w:tc>
        <w:tc>
          <w:tcPr>
            <w:tcW w:w="1290" w:type="dxa"/>
            <w:shd w:val="clear" w:color="auto" w:fill="FFFFFF" w:themeFill="background1"/>
            <w:vAlign w:val="center"/>
          </w:tcPr>
          <w:p w14:paraId="58EEFA09" w14:textId="77777777" w:rsidR="006D4803" w:rsidRPr="006D4803" w:rsidRDefault="006D4803" w:rsidP="006D4803">
            <w:pPr>
              <w:pStyle w:val="Sinespaciado"/>
              <w:jc w:val="center"/>
              <w:rPr>
                <w:sz w:val="16"/>
              </w:rPr>
            </w:pPr>
            <w:r w:rsidRPr="006D4803">
              <w:rPr>
                <w:sz w:val="16"/>
              </w:rPr>
              <w:t>7</w:t>
            </w:r>
          </w:p>
        </w:tc>
        <w:tc>
          <w:tcPr>
            <w:tcW w:w="2203" w:type="dxa"/>
            <w:shd w:val="clear" w:color="auto" w:fill="FFFFFF" w:themeFill="background1"/>
          </w:tcPr>
          <w:p w14:paraId="62FB0602" w14:textId="77777777" w:rsidR="006D4803" w:rsidRPr="00293D2E" w:rsidRDefault="006D4803" w:rsidP="006D4803">
            <w:pPr>
              <w:pStyle w:val="Sinespaciado"/>
              <w:jc w:val="both"/>
              <w:rPr>
                <w:sz w:val="16"/>
                <w:highlight w:val="yellow"/>
              </w:rPr>
            </w:pPr>
            <w:r w:rsidRPr="00787451">
              <w:rPr>
                <w:rFonts w:asciiTheme="majorHAnsi" w:hAnsiTheme="majorHAnsi" w:cstheme="majorHAnsi"/>
                <w:sz w:val="16"/>
                <w:lang w:eastAsia="es-MX"/>
              </w:rPr>
              <w:t>Información publicada sin garantizar que sea accesible, confiable, verificable, veraz y oportuna.</w:t>
            </w:r>
          </w:p>
        </w:tc>
        <w:tc>
          <w:tcPr>
            <w:tcW w:w="1255" w:type="dxa"/>
            <w:shd w:val="clear" w:color="auto" w:fill="FFFFFF" w:themeFill="background1"/>
            <w:vAlign w:val="center"/>
          </w:tcPr>
          <w:p w14:paraId="5322534A" w14:textId="77777777" w:rsidR="006D4803" w:rsidRPr="00787451" w:rsidRDefault="006D4803" w:rsidP="006D4803">
            <w:pPr>
              <w:pStyle w:val="Sinespaciado"/>
              <w:jc w:val="center"/>
              <w:rPr>
                <w:sz w:val="16"/>
              </w:rPr>
            </w:pPr>
            <w:r w:rsidRPr="00787451">
              <w:rPr>
                <w:sz w:val="16"/>
              </w:rPr>
              <w:t>5</w:t>
            </w:r>
          </w:p>
        </w:tc>
        <w:tc>
          <w:tcPr>
            <w:tcW w:w="1290" w:type="dxa"/>
            <w:shd w:val="clear" w:color="auto" w:fill="FFFFFF" w:themeFill="background1"/>
            <w:vAlign w:val="center"/>
          </w:tcPr>
          <w:p w14:paraId="66E2328B" w14:textId="77777777" w:rsidR="006D4803" w:rsidRPr="006D4803" w:rsidRDefault="006D4803" w:rsidP="006D4803">
            <w:pPr>
              <w:pStyle w:val="Sinespaciado"/>
              <w:jc w:val="center"/>
              <w:rPr>
                <w:sz w:val="16"/>
              </w:rPr>
            </w:pPr>
            <w:r w:rsidRPr="006D4803">
              <w:rPr>
                <w:sz w:val="16"/>
              </w:rPr>
              <w:t>7</w:t>
            </w:r>
          </w:p>
        </w:tc>
      </w:tr>
      <w:tr w:rsidR="006D4803" w:rsidRPr="00293D2E" w14:paraId="1E7D0345" w14:textId="77777777" w:rsidTr="00A973D0">
        <w:trPr>
          <w:jc w:val="center"/>
        </w:trPr>
        <w:tc>
          <w:tcPr>
            <w:tcW w:w="2205" w:type="dxa"/>
            <w:shd w:val="clear" w:color="auto" w:fill="FFFFFF" w:themeFill="background1"/>
          </w:tcPr>
          <w:p w14:paraId="0F5BD6FD" w14:textId="77777777" w:rsidR="006D4803" w:rsidRPr="00787451" w:rsidRDefault="006D4803" w:rsidP="006D4803">
            <w:pPr>
              <w:pStyle w:val="Sinespaciado"/>
              <w:jc w:val="both"/>
              <w:rPr>
                <w:rFonts w:asciiTheme="majorHAnsi" w:hAnsiTheme="majorHAnsi" w:cstheme="majorHAnsi"/>
                <w:sz w:val="16"/>
                <w:highlight w:val="yellow"/>
              </w:rPr>
            </w:pPr>
            <w:r w:rsidRPr="00787451">
              <w:rPr>
                <w:rFonts w:asciiTheme="majorHAnsi" w:hAnsiTheme="majorHAnsi" w:cstheme="majorHAnsi"/>
                <w:sz w:val="16"/>
                <w:lang w:eastAsia="es-MX"/>
              </w:rPr>
              <w:t>Acciones de promoción de la Contraloría Social incumplidas por no contar con comités para proporcionar la información y asesoría necesaria para el cumplimiento de sus funciones.</w:t>
            </w:r>
          </w:p>
        </w:tc>
        <w:tc>
          <w:tcPr>
            <w:tcW w:w="1255" w:type="dxa"/>
            <w:shd w:val="clear" w:color="auto" w:fill="FFFFFF" w:themeFill="background1"/>
            <w:vAlign w:val="center"/>
          </w:tcPr>
          <w:p w14:paraId="515362CE" w14:textId="77777777" w:rsidR="006D4803" w:rsidRPr="00787451" w:rsidRDefault="006D4803" w:rsidP="006D4803">
            <w:pPr>
              <w:pStyle w:val="Sinespaciado"/>
              <w:jc w:val="center"/>
              <w:rPr>
                <w:sz w:val="16"/>
              </w:rPr>
            </w:pPr>
            <w:r w:rsidRPr="00787451">
              <w:rPr>
                <w:sz w:val="16"/>
              </w:rPr>
              <w:t>8</w:t>
            </w:r>
          </w:p>
        </w:tc>
        <w:tc>
          <w:tcPr>
            <w:tcW w:w="1290" w:type="dxa"/>
            <w:shd w:val="clear" w:color="auto" w:fill="FFFFFF" w:themeFill="background1"/>
            <w:vAlign w:val="center"/>
          </w:tcPr>
          <w:p w14:paraId="070249D6" w14:textId="77777777" w:rsidR="006D4803" w:rsidRPr="006D4803" w:rsidRDefault="006D4803" w:rsidP="006D4803">
            <w:pPr>
              <w:pStyle w:val="Sinespaciado"/>
              <w:jc w:val="center"/>
              <w:rPr>
                <w:sz w:val="16"/>
              </w:rPr>
            </w:pPr>
            <w:r w:rsidRPr="006D4803">
              <w:rPr>
                <w:sz w:val="16"/>
              </w:rPr>
              <w:t>7</w:t>
            </w:r>
          </w:p>
        </w:tc>
        <w:tc>
          <w:tcPr>
            <w:tcW w:w="2203" w:type="dxa"/>
            <w:shd w:val="clear" w:color="auto" w:fill="FFFFFF" w:themeFill="background1"/>
          </w:tcPr>
          <w:p w14:paraId="7DD757C7" w14:textId="77777777" w:rsidR="006D4803" w:rsidRPr="00293D2E" w:rsidRDefault="006D4803" w:rsidP="006D4803">
            <w:pPr>
              <w:pStyle w:val="Sinespaciado"/>
              <w:jc w:val="both"/>
              <w:rPr>
                <w:sz w:val="16"/>
                <w:highlight w:val="yellow"/>
              </w:rPr>
            </w:pPr>
            <w:r w:rsidRPr="00787451">
              <w:rPr>
                <w:rFonts w:asciiTheme="majorHAnsi" w:hAnsiTheme="majorHAnsi" w:cstheme="majorHAnsi"/>
                <w:sz w:val="16"/>
                <w:lang w:eastAsia="es-MX"/>
              </w:rPr>
              <w:t>Acciones de promoción de la Contraloría Social incumplidas por no contar con comités para proporcionar la información y asesoría necesaria para el cumplimiento de sus funciones.</w:t>
            </w:r>
          </w:p>
        </w:tc>
        <w:tc>
          <w:tcPr>
            <w:tcW w:w="1255" w:type="dxa"/>
            <w:shd w:val="clear" w:color="auto" w:fill="FFFFFF" w:themeFill="background1"/>
            <w:vAlign w:val="center"/>
          </w:tcPr>
          <w:p w14:paraId="494F609B" w14:textId="77777777" w:rsidR="006D4803" w:rsidRPr="00787451" w:rsidRDefault="006D4803" w:rsidP="006D4803">
            <w:pPr>
              <w:pStyle w:val="Sinespaciado"/>
              <w:jc w:val="center"/>
              <w:rPr>
                <w:sz w:val="16"/>
              </w:rPr>
            </w:pPr>
            <w:r w:rsidRPr="00787451">
              <w:rPr>
                <w:sz w:val="16"/>
              </w:rPr>
              <w:t>8</w:t>
            </w:r>
          </w:p>
        </w:tc>
        <w:tc>
          <w:tcPr>
            <w:tcW w:w="1290" w:type="dxa"/>
            <w:shd w:val="clear" w:color="auto" w:fill="FFFFFF" w:themeFill="background1"/>
            <w:vAlign w:val="center"/>
          </w:tcPr>
          <w:p w14:paraId="053A0922" w14:textId="77777777" w:rsidR="006D4803" w:rsidRPr="006D4803" w:rsidRDefault="006D4803" w:rsidP="006D4803">
            <w:pPr>
              <w:pStyle w:val="Sinespaciado"/>
              <w:jc w:val="center"/>
              <w:rPr>
                <w:sz w:val="16"/>
              </w:rPr>
            </w:pPr>
            <w:r w:rsidRPr="006D4803">
              <w:rPr>
                <w:sz w:val="16"/>
              </w:rPr>
              <w:t>7</w:t>
            </w:r>
          </w:p>
        </w:tc>
      </w:tr>
      <w:tr w:rsidR="006D4803" w:rsidRPr="00293D2E" w14:paraId="3E4EB7B8" w14:textId="77777777" w:rsidTr="00A973D0">
        <w:trPr>
          <w:jc w:val="center"/>
        </w:trPr>
        <w:tc>
          <w:tcPr>
            <w:tcW w:w="2205" w:type="dxa"/>
            <w:shd w:val="clear" w:color="auto" w:fill="FFFFFF" w:themeFill="background1"/>
          </w:tcPr>
          <w:p w14:paraId="3CF31E19" w14:textId="77777777" w:rsidR="006D4803" w:rsidRPr="00787451" w:rsidRDefault="006D4803" w:rsidP="006D4803">
            <w:pPr>
              <w:pStyle w:val="Sinespaciado"/>
              <w:jc w:val="both"/>
              <w:rPr>
                <w:rFonts w:asciiTheme="majorHAnsi" w:hAnsiTheme="majorHAnsi" w:cstheme="majorHAnsi"/>
                <w:sz w:val="16"/>
              </w:rPr>
            </w:pPr>
            <w:r w:rsidRPr="00787451">
              <w:rPr>
                <w:rFonts w:asciiTheme="majorHAnsi" w:hAnsiTheme="majorHAnsi" w:cstheme="majorHAnsi"/>
                <w:sz w:val="16"/>
                <w:lang w:eastAsia="es-MX"/>
              </w:rPr>
              <w:t xml:space="preserve">Registros de Proveedores y Contratistas inviables para ser consultados rápidamente y de </w:t>
            </w:r>
            <w:r w:rsidRPr="00787451">
              <w:rPr>
                <w:rFonts w:asciiTheme="majorHAnsi" w:hAnsiTheme="majorHAnsi" w:cstheme="majorHAnsi"/>
                <w:sz w:val="16"/>
                <w:lang w:eastAsia="es-MX"/>
              </w:rPr>
              <w:lastRenderedPageBreak/>
              <w:t>manera confiable; vulnerando la legalidad y la transparencia.</w:t>
            </w:r>
          </w:p>
        </w:tc>
        <w:tc>
          <w:tcPr>
            <w:tcW w:w="1255" w:type="dxa"/>
            <w:shd w:val="clear" w:color="auto" w:fill="FFFFFF" w:themeFill="background1"/>
            <w:vAlign w:val="center"/>
          </w:tcPr>
          <w:p w14:paraId="55D6691E" w14:textId="77777777" w:rsidR="006D4803" w:rsidRPr="00787451" w:rsidRDefault="006D4803" w:rsidP="006D4803">
            <w:pPr>
              <w:pStyle w:val="Sinespaciado"/>
              <w:jc w:val="center"/>
              <w:rPr>
                <w:sz w:val="16"/>
              </w:rPr>
            </w:pPr>
            <w:r w:rsidRPr="00787451">
              <w:rPr>
                <w:sz w:val="16"/>
              </w:rPr>
              <w:lastRenderedPageBreak/>
              <w:t>2</w:t>
            </w:r>
          </w:p>
        </w:tc>
        <w:tc>
          <w:tcPr>
            <w:tcW w:w="1290" w:type="dxa"/>
            <w:shd w:val="clear" w:color="auto" w:fill="FFFFFF" w:themeFill="background1"/>
            <w:vAlign w:val="center"/>
          </w:tcPr>
          <w:p w14:paraId="1D8B7B0B" w14:textId="77777777" w:rsidR="006D4803" w:rsidRPr="006D4803" w:rsidRDefault="006D4803" w:rsidP="006D4803">
            <w:pPr>
              <w:pStyle w:val="Sinespaciado"/>
              <w:jc w:val="center"/>
              <w:rPr>
                <w:sz w:val="16"/>
              </w:rPr>
            </w:pPr>
            <w:r w:rsidRPr="006D4803">
              <w:rPr>
                <w:sz w:val="16"/>
              </w:rPr>
              <w:t>4</w:t>
            </w:r>
          </w:p>
        </w:tc>
        <w:tc>
          <w:tcPr>
            <w:tcW w:w="2203" w:type="dxa"/>
            <w:shd w:val="clear" w:color="auto" w:fill="FFFFFF" w:themeFill="background1"/>
          </w:tcPr>
          <w:p w14:paraId="0AFC11FE" w14:textId="77777777" w:rsidR="006D4803" w:rsidRPr="00293D2E" w:rsidRDefault="006D4803" w:rsidP="006D4803">
            <w:pPr>
              <w:pStyle w:val="Sinespaciado"/>
              <w:jc w:val="both"/>
              <w:rPr>
                <w:sz w:val="16"/>
              </w:rPr>
            </w:pPr>
            <w:r w:rsidRPr="00787451">
              <w:rPr>
                <w:rFonts w:asciiTheme="majorHAnsi" w:hAnsiTheme="majorHAnsi" w:cstheme="majorHAnsi"/>
                <w:sz w:val="16"/>
                <w:lang w:eastAsia="es-MX"/>
              </w:rPr>
              <w:t xml:space="preserve">Registros de Proveedores y Contratistas inviables para ser consultados rápidamente y de </w:t>
            </w:r>
            <w:r w:rsidRPr="00787451">
              <w:rPr>
                <w:rFonts w:asciiTheme="majorHAnsi" w:hAnsiTheme="majorHAnsi" w:cstheme="majorHAnsi"/>
                <w:sz w:val="16"/>
                <w:lang w:eastAsia="es-MX"/>
              </w:rPr>
              <w:lastRenderedPageBreak/>
              <w:t>manera confiable; vulnerando la legalidad y la transparencia.</w:t>
            </w:r>
          </w:p>
        </w:tc>
        <w:tc>
          <w:tcPr>
            <w:tcW w:w="1255" w:type="dxa"/>
            <w:shd w:val="clear" w:color="auto" w:fill="FFFFFF" w:themeFill="background1"/>
            <w:vAlign w:val="center"/>
          </w:tcPr>
          <w:p w14:paraId="034AEB35" w14:textId="77777777" w:rsidR="006D4803" w:rsidRPr="00787451" w:rsidRDefault="006D4803" w:rsidP="006D4803">
            <w:pPr>
              <w:pStyle w:val="Sinespaciado"/>
              <w:jc w:val="center"/>
              <w:rPr>
                <w:sz w:val="16"/>
              </w:rPr>
            </w:pPr>
            <w:r w:rsidRPr="00787451">
              <w:rPr>
                <w:sz w:val="16"/>
              </w:rPr>
              <w:lastRenderedPageBreak/>
              <w:t>2</w:t>
            </w:r>
          </w:p>
        </w:tc>
        <w:tc>
          <w:tcPr>
            <w:tcW w:w="1290" w:type="dxa"/>
            <w:shd w:val="clear" w:color="auto" w:fill="FFFFFF" w:themeFill="background1"/>
            <w:vAlign w:val="center"/>
          </w:tcPr>
          <w:p w14:paraId="6C2E10FD" w14:textId="77777777" w:rsidR="006D4803" w:rsidRPr="006D4803" w:rsidRDefault="006D4803" w:rsidP="006D4803">
            <w:pPr>
              <w:pStyle w:val="Sinespaciado"/>
              <w:jc w:val="center"/>
              <w:rPr>
                <w:sz w:val="16"/>
              </w:rPr>
            </w:pPr>
            <w:r w:rsidRPr="006D4803">
              <w:rPr>
                <w:sz w:val="16"/>
              </w:rPr>
              <w:t>4</w:t>
            </w:r>
          </w:p>
        </w:tc>
      </w:tr>
      <w:tr w:rsidR="00896297" w:rsidRPr="00293D2E" w14:paraId="2D4136AA" w14:textId="77777777" w:rsidTr="00A973D0">
        <w:trPr>
          <w:jc w:val="center"/>
        </w:trPr>
        <w:tc>
          <w:tcPr>
            <w:tcW w:w="2205" w:type="dxa"/>
            <w:shd w:val="clear" w:color="auto" w:fill="FFFFFF" w:themeFill="background1"/>
          </w:tcPr>
          <w:p w14:paraId="6CEAD759" w14:textId="77777777" w:rsidR="00896297" w:rsidRPr="00787451" w:rsidRDefault="00896297" w:rsidP="006D4803">
            <w:pPr>
              <w:pStyle w:val="Sinespaciado"/>
              <w:jc w:val="both"/>
              <w:rPr>
                <w:rFonts w:asciiTheme="majorHAnsi" w:hAnsiTheme="majorHAnsi" w:cstheme="majorHAnsi"/>
                <w:sz w:val="16"/>
                <w:lang w:eastAsia="es-MX"/>
              </w:rPr>
            </w:pPr>
            <w:r w:rsidRPr="00896297">
              <w:rPr>
                <w:rFonts w:asciiTheme="majorHAnsi" w:hAnsiTheme="majorHAnsi" w:cstheme="majorHAnsi"/>
                <w:sz w:val="16"/>
                <w:lang w:eastAsia="es-MX"/>
              </w:rPr>
              <w:t>Información falsa, incompleta, deficiente o desactualizada en los expedientes laborales de los Servidores Públicos</w:t>
            </w:r>
            <w:r>
              <w:rPr>
                <w:rFonts w:asciiTheme="majorHAnsi" w:hAnsiTheme="majorHAnsi" w:cstheme="majorHAnsi"/>
                <w:sz w:val="16"/>
                <w:lang w:eastAsia="es-MX"/>
              </w:rPr>
              <w:t>.</w:t>
            </w:r>
          </w:p>
        </w:tc>
        <w:tc>
          <w:tcPr>
            <w:tcW w:w="1255" w:type="dxa"/>
            <w:shd w:val="clear" w:color="auto" w:fill="FFFFFF" w:themeFill="background1"/>
            <w:vAlign w:val="center"/>
          </w:tcPr>
          <w:p w14:paraId="08545271" w14:textId="77777777" w:rsidR="00896297" w:rsidRPr="00787451" w:rsidRDefault="00896297" w:rsidP="006D4803">
            <w:pPr>
              <w:pStyle w:val="Sinespaciado"/>
              <w:jc w:val="center"/>
              <w:rPr>
                <w:sz w:val="16"/>
              </w:rPr>
            </w:pPr>
            <w:r>
              <w:rPr>
                <w:sz w:val="16"/>
              </w:rPr>
              <w:t>4</w:t>
            </w:r>
          </w:p>
        </w:tc>
        <w:tc>
          <w:tcPr>
            <w:tcW w:w="1290" w:type="dxa"/>
            <w:shd w:val="clear" w:color="auto" w:fill="FFFFFF" w:themeFill="background1"/>
            <w:vAlign w:val="center"/>
          </w:tcPr>
          <w:p w14:paraId="25EB7C1D" w14:textId="77777777" w:rsidR="00896297" w:rsidRPr="006D4803" w:rsidRDefault="00896297" w:rsidP="006D4803">
            <w:pPr>
              <w:pStyle w:val="Sinespaciado"/>
              <w:jc w:val="center"/>
              <w:rPr>
                <w:sz w:val="16"/>
              </w:rPr>
            </w:pPr>
            <w:r>
              <w:rPr>
                <w:sz w:val="16"/>
              </w:rPr>
              <w:t>3</w:t>
            </w:r>
          </w:p>
        </w:tc>
        <w:tc>
          <w:tcPr>
            <w:tcW w:w="2203" w:type="dxa"/>
            <w:shd w:val="clear" w:color="auto" w:fill="FFFFFF" w:themeFill="background1"/>
          </w:tcPr>
          <w:p w14:paraId="56052DD0" w14:textId="77777777" w:rsidR="00896297" w:rsidRPr="00787451" w:rsidRDefault="00896297" w:rsidP="006D4803">
            <w:pPr>
              <w:pStyle w:val="Sinespaciado"/>
              <w:jc w:val="both"/>
              <w:rPr>
                <w:rFonts w:asciiTheme="majorHAnsi" w:hAnsiTheme="majorHAnsi" w:cstheme="majorHAnsi"/>
                <w:sz w:val="16"/>
                <w:lang w:eastAsia="es-MX"/>
              </w:rPr>
            </w:pPr>
            <w:r w:rsidRPr="00896297">
              <w:rPr>
                <w:rFonts w:asciiTheme="majorHAnsi" w:hAnsiTheme="majorHAnsi" w:cstheme="majorHAnsi"/>
                <w:sz w:val="16"/>
                <w:lang w:eastAsia="es-MX"/>
              </w:rPr>
              <w:t>Información falsa, incompleta, deficiente o desactualizada en los expedientes laborales de los Servidores Públicos</w:t>
            </w:r>
          </w:p>
        </w:tc>
        <w:tc>
          <w:tcPr>
            <w:tcW w:w="1255" w:type="dxa"/>
            <w:shd w:val="clear" w:color="auto" w:fill="FFFFFF" w:themeFill="background1"/>
            <w:vAlign w:val="center"/>
          </w:tcPr>
          <w:p w14:paraId="1FBB7721" w14:textId="77777777" w:rsidR="00896297" w:rsidRPr="00787451" w:rsidRDefault="00896297" w:rsidP="006D4803">
            <w:pPr>
              <w:pStyle w:val="Sinespaciado"/>
              <w:jc w:val="center"/>
              <w:rPr>
                <w:sz w:val="16"/>
              </w:rPr>
            </w:pPr>
            <w:r>
              <w:rPr>
                <w:sz w:val="16"/>
              </w:rPr>
              <w:t>4</w:t>
            </w:r>
          </w:p>
        </w:tc>
        <w:tc>
          <w:tcPr>
            <w:tcW w:w="1290" w:type="dxa"/>
            <w:shd w:val="clear" w:color="auto" w:fill="FFFFFF" w:themeFill="background1"/>
            <w:vAlign w:val="center"/>
          </w:tcPr>
          <w:p w14:paraId="75D5FC69" w14:textId="77777777" w:rsidR="00896297" w:rsidRPr="006D4803" w:rsidRDefault="00896297" w:rsidP="006D4803">
            <w:pPr>
              <w:pStyle w:val="Sinespaciado"/>
              <w:jc w:val="center"/>
              <w:rPr>
                <w:sz w:val="16"/>
              </w:rPr>
            </w:pPr>
            <w:r>
              <w:rPr>
                <w:sz w:val="16"/>
              </w:rPr>
              <w:t>3</w:t>
            </w:r>
          </w:p>
        </w:tc>
      </w:tr>
    </w:tbl>
    <w:p w14:paraId="39DAEE9A" w14:textId="77777777" w:rsidR="002B46DE" w:rsidRDefault="002B46DE" w:rsidP="00433743">
      <w:pPr>
        <w:pStyle w:val="Prrafodelista"/>
        <w:spacing w:after="240"/>
        <w:ind w:left="0" w:right="-34"/>
        <w:jc w:val="both"/>
        <w:rPr>
          <w:rFonts w:ascii="Graphik Regular" w:hAnsi="Graphik Regular"/>
          <w:szCs w:val="20"/>
        </w:rPr>
      </w:pPr>
    </w:p>
    <w:p w14:paraId="1F00516E" w14:textId="522EB752" w:rsidR="008B1DE4" w:rsidRDefault="00CC7600" w:rsidP="00433743">
      <w:pPr>
        <w:pStyle w:val="Prrafodelista"/>
        <w:spacing w:after="240"/>
        <w:ind w:left="0" w:right="-34"/>
        <w:jc w:val="both"/>
        <w:rPr>
          <w:rFonts w:ascii="Graphik Regular" w:hAnsi="Graphik Regular"/>
          <w:szCs w:val="20"/>
        </w:rPr>
      </w:pPr>
      <w:r w:rsidRPr="005365CC">
        <w:rPr>
          <w:rFonts w:ascii="Graphik Regular" w:hAnsi="Graphik Regular"/>
          <w:szCs w:val="20"/>
        </w:rPr>
        <w:t>Cabe señalar que en el ejercicio 20</w:t>
      </w:r>
      <w:r w:rsidR="00833A60">
        <w:rPr>
          <w:rFonts w:ascii="Graphik Regular" w:hAnsi="Graphik Regular"/>
          <w:szCs w:val="20"/>
        </w:rPr>
        <w:t>20</w:t>
      </w:r>
      <w:r w:rsidRPr="005365CC">
        <w:rPr>
          <w:rFonts w:ascii="Graphik Regular" w:hAnsi="Graphik Regular"/>
          <w:szCs w:val="20"/>
        </w:rPr>
        <w:t xml:space="preserve"> no se presentaron cambios en la conceptualización de los riesgos originalmente identificados, ni se detectaron nuevos riesgos para los procesos de la Secretaría.</w:t>
      </w:r>
    </w:p>
    <w:p w14:paraId="6A40A760" w14:textId="77777777" w:rsidR="006D4803" w:rsidRDefault="006D4803" w:rsidP="00BE7604">
      <w:pPr>
        <w:spacing w:after="240"/>
        <w:ind w:right="-34"/>
        <w:jc w:val="both"/>
        <w:rPr>
          <w:rFonts w:ascii="Graphik Regular" w:hAnsi="Graphik Regular"/>
          <w:szCs w:val="20"/>
        </w:rPr>
      </w:pPr>
    </w:p>
    <w:p w14:paraId="4D61F37A" w14:textId="77777777" w:rsidR="00183FB8" w:rsidRPr="00933940" w:rsidRDefault="00933940" w:rsidP="00933940">
      <w:pPr>
        <w:pStyle w:val="Prrafodelista"/>
        <w:numPr>
          <w:ilvl w:val="0"/>
          <w:numId w:val="1"/>
        </w:numPr>
        <w:rPr>
          <w:rFonts w:ascii="Graphik Regular" w:hAnsi="Graphik Regular"/>
          <w:b/>
          <w:szCs w:val="20"/>
        </w:rPr>
      </w:pPr>
      <w:r w:rsidRPr="00933940">
        <w:rPr>
          <w:rFonts w:ascii="Graphik Regular" w:hAnsi="Graphik Regular"/>
          <w:b/>
          <w:szCs w:val="20"/>
        </w:rPr>
        <w:t>Comparativo del total de riesgos por cuadrante</w:t>
      </w:r>
      <w:r>
        <w:rPr>
          <w:rFonts w:ascii="Graphik Regular" w:hAnsi="Graphik Regular"/>
          <w:b/>
          <w:szCs w:val="20"/>
        </w:rPr>
        <w:t>:</w:t>
      </w:r>
    </w:p>
    <w:p w14:paraId="41C674D9" w14:textId="77777777" w:rsidR="00933940" w:rsidRDefault="00933940" w:rsidP="00600BB0">
      <w:pPr>
        <w:pStyle w:val="Prrafodelista"/>
        <w:spacing w:after="240"/>
        <w:ind w:left="425" w:right="-34"/>
        <w:jc w:val="both"/>
        <w:rPr>
          <w:rFonts w:ascii="Graphik Regular" w:hAnsi="Graphik Regular"/>
          <w:b/>
          <w:szCs w:val="20"/>
        </w:rPr>
      </w:pPr>
    </w:p>
    <w:tbl>
      <w:tblPr>
        <w:tblStyle w:val="Tablaconcuadrcula"/>
        <w:tblW w:w="0" w:type="auto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01"/>
        <w:gridCol w:w="2835"/>
        <w:gridCol w:w="2694"/>
      </w:tblGrid>
      <w:tr w:rsidR="00A973D0" w:rsidRPr="00FC6262" w14:paraId="4345C5AE" w14:textId="77777777" w:rsidTr="003D39BE">
        <w:trPr>
          <w:trHeight w:val="833"/>
          <w:jc w:val="center"/>
        </w:trPr>
        <w:tc>
          <w:tcPr>
            <w:tcW w:w="1701" w:type="dxa"/>
            <w:shd w:val="clear" w:color="auto" w:fill="002060"/>
            <w:vAlign w:val="center"/>
          </w:tcPr>
          <w:p w14:paraId="757D8763" w14:textId="77777777" w:rsidR="00A973D0" w:rsidRPr="00FC6262" w:rsidRDefault="003D39BE" w:rsidP="003D39BE">
            <w:pPr>
              <w:ind w:right="-34"/>
              <w:jc w:val="center"/>
              <w:rPr>
                <w:rFonts w:ascii="Graphik Regular" w:hAnsi="Graphik Regular"/>
                <w:b/>
                <w:szCs w:val="20"/>
              </w:rPr>
            </w:pPr>
            <w:r w:rsidRPr="003D39BE">
              <w:rPr>
                <w:rFonts w:ascii="Graphik Regular" w:hAnsi="Graphik Regular"/>
                <w:b/>
                <w:sz w:val="24"/>
                <w:szCs w:val="20"/>
              </w:rPr>
              <w:t>CUADRANTE</w:t>
            </w:r>
          </w:p>
        </w:tc>
        <w:tc>
          <w:tcPr>
            <w:tcW w:w="2835" w:type="dxa"/>
            <w:shd w:val="clear" w:color="auto" w:fill="002060"/>
            <w:vAlign w:val="center"/>
          </w:tcPr>
          <w:p w14:paraId="6BBFEA02" w14:textId="3D973D43" w:rsidR="00A973D0" w:rsidRPr="00FC6262" w:rsidRDefault="00A973D0" w:rsidP="00C949F1">
            <w:pPr>
              <w:ind w:right="-34"/>
              <w:jc w:val="center"/>
              <w:rPr>
                <w:rFonts w:ascii="Graphik Regular" w:hAnsi="Graphik Regular"/>
                <w:b/>
                <w:szCs w:val="20"/>
              </w:rPr>
            </w:pPr>
            <w:r>
              <w:rPr>
                <w:rFonts w:ascii="Graphik Regular" w:hAnsi="Graphik Regular"/>
                <w:b/>
                <w:szCs w:val="20"/>
              </w:rPr>
              <w:t>201</w:t>
            </w:r>
            <w:r w:rsidR="00833A60">
              <w:rPr>
                <w:rFonts w:ascii="Graphik Regular" w:hAnsi="Graphik Regular"/>
                <w:b/>
                <w:szCs w:val="20"/>
              </w:rPr>
              <w:t>9</w:t>
            </w:r>
          </w:p>
        </w:tc>
        <w:tc>
          <w:tcPr>
            <w:tcW w:w="2694" w:type="dxa"/>
            <w:shd w:val="clear" w:color="auto" w:fill="002060"/>
            <w:vAlign w:val="center"/>
          </w:tcPr>
          <w:p w14:paraId="3C81311C" w14:textId="63906898" w:rsidR="00A973D0" w:rsidRPr="00FC6262" w:rsidRDefault="00A973D0" w:rsidP="00A74F43">
            <w:pPr>
              <w:ind w:right="-34"/>
              <w:jc w:val="center"/>
              <w:rPr>
                <w:rFonts w:ascii="Graphik Regular" w:hAnsi="Graphik Regular"/>
                <w:b/>
                <w:szCs w:val="20"/>
              </w:rPr>
            </w:pPr>
            <w:r>
              <w:rPr>
                <w:rFonts w:ascii="Graphik Regular" w:hAnsi="Graphik Regular"/>
                <w:b/>
                <w:szCs w:val="20"/>
              </w:rPr>
              <w:t>20</w:t>
            </w:r>
            <w:r w:rsidR="00833A60">
              <w:rPr>
                <w:rFonts w:ascii="Graphik Regular" w:hAnsi="Graphik Regular"/>
                <w:b/>
                <w:szCs w:val="20"/>
              </w:rPr>
              <w:t>20</w:t>
            </w:r>
          </w:p>
        </w:tc>
      </w:tr>
      <w:tr w:rsidR="00A973D0" w:rsidRPr="00FC6262" w14:paraId="6271A1F2" w14:textId="77777777" w:rsidTr="003D39BE">
        <w:trPr>
          <w:trHeight w:val="851"/>
          <w:jc w:val="center"/>
        </w:trPr>
        <w:tc>
          <w:tcPr>
            <w:tcW w:w="1701" w:type="dxa"/>
            <w:shd w:val="clear" w:color="auto" w:fill="FF0000"/>
            <w:vAlign w:val="center"/>
          </w:tcPr>
          <w:p w14:paraId="66BD7B20" w14:textId="77777777" w:rsidR="00A973D0" w:rsidRPr="00FC6262" w:rsidRDefault="00A973D0" w:rsidP="00BE7604">
            <w:pPr>
              <w:ind w:right="-34"/>
              <w:jc w:val="center"/>
              <w:rPr>
                <w:rFonts w:ascii="Graphik Regular" w:hAnsi="Graphik Regular"/>
                <w:b/>
                <w:szCs w:val="20"/>
              </w:rPr>
            </w:pPr>
            <w:r w:rsidRPr="00FC6262">
              <w:rPr>
                <w:rFonts w:ascii="Graphik Regular" w:hAnsi="Graphik Regular"/>
                <w:b/>
                <w:szCs w:val="20"/>
              </w:rPr>
              <w:t>I</w:t>
            </w:r>
          </w:p>
        </w:tc>
        <w:tc>
          <w:tcPr>
            <w:tcW w:w="2835" w:type="dxa"/>
            <w:vAlign w:val="center"/>
          </w:tcPr>
          <w:p w14:paraId="0E296F71" w14:textId="77777777" w:rsidR="00A973D0" w:rsidRPr="00FC6262" w:rsidRDefault="00A973D0" w:rsidP="00BE7604">
            <w:pPr>
              <w:ind w:right="-34"/>
              <w:jc w:val="center"/>
              <w:rPr>
                <w:rFonts w:ascii="Graphik Regular" w:hAnsi="Graphik Regular"/>
                <w:b/>
                <w:szCs w:val="20"/>
              </w:rPr>
            </w:pPr>
            <w:r>
              <w:rPr>
                <w:rFonts w:ascii="Graphik Regular" w:hAnsi="Graphik Regular"/>
                <w:b/>
                <w:szCs w:val="20"/>
              </w:rPr>
              <w:t>3</w:t>
            </w:r>
          </w:p>
        </w:tc>
        <w:tc>
          <w:tcPr>
            <w:tcW w:w="2694" w:type="dxa"/>
            <w:vAlign w:val="center"/>
          </w:tcPr>
          <w:p w14:paraId="66A4FC58" w14:textId="77777777" w:rsidR="00A973D0" w:rsidRPr="00FC6262" w:rsidRDefault="00A973D0" w:rsidP="00BE7604">
            <w:pPr>
              <w:ind w:right="-34"/>
              <w:jc w:val="center"/>
              <w:rPr>
                <w:rFonts w:ascii="Graphik Regular" w:hAnsi="Graphik Regular"/>
                <w:b/>
                <w:szCs w:val="20"/>
              </w:rPr>
            </w:pPr>
            <w:r>
              <w:rPr>
                <w:rFonts w:ascii="Graphik Regular" w:hAnsi="Graphik Regular"/>
                <w:b/>
                <w:szCs w:val="20"/>
              </w:rPr>
              <w:t>3</w:t>
            </w:r>
          </w:p>
        </w:tc>
      </w:tr>
      <w:tr w:rsidR="00A973D0" w:rsidRPr="00FC6262" w14:paraId="6D7E2F78" w14:textId="77777777" w:rsidTr="003D39BE">
        <w:trPr>
          <w:trHeight w:val="851"/>
          <w:jc w:val="center"/>
        </w:trPr>
        <w:tc>
          <w:tcPr>
            <w:tcW w:w="1701" w:type="dxa"/>
            <w:tcBorders>
              <w:bottom w:val="double" w:sz="4" w:space="0" w:color="auto"/>
            </w:tcBorders>
            <w:shd w:val="clear" w:color="auto" w:fill="FFFF00"/>
            <w:vAlign w:val="center"/>
          </w:tcPr>
          <w:p w14:paraId="3C5EA2EC" w14:textId="77777777" w:rsidR="00A973D0" w:rsidRPr="00FC6262" w:rsidRDefault="00A973D0" w:rsidP="00BE7604">
            <w:pPr>
              <w:ind w:right="-34"/>
              <w:jc w:val="center"/>
              <w:rPr>
                <w:rFonts w:ascii="Graphik Regular" w:hAnsi="Graphik Regular"/>
                <w:b/>
                <w:szCs w:val="20"/>
              </w:rPr>
            </w:pPr>
            <w:r w:rsidRPr="00FC6262">
              <w:rPr>
                <w:rFonts w:ascii="Graphik Regular" w:hAnsi="Graphik Regular"/>
                <w:b/>
                <w:szCs w:val="20"/>
              </w:rPr>
              <w:t>II</w:t>
            </w:r>
          </w:p>
        </w:tc>
        <w:tc>
          <w:tcPr>
            <w:tcW w:w="2835" w:type="dxa"/>
            <w:vAlign w:val="center"/>
          </w:tcPr>
          <w:p w14:paraId="159D01B1" w14:textId="77777777" w:rsidR="00A973D0" w:rsidRPr="00FC6262" w:rsidRDefault="00A973D0" w:rsidP="00BE7604">
            <w:pPr>
              <w:ind w:right="-34"/>
              <w:jc w:val="center"/>
              <w:rPr>
                <w:rFonts w:ascii="Graphik Regular" w:hAnsi="Graphik Regular"/>
                <w:b/>
                <w:szCs w:val="20"/>
              </w:rPr>
            </w:pPr>
            <w:r>
              <w:rPr>
                <w:rFonts w:ascii="Graphik Regular" w:hAnsi="Graphik Regular"/>
                <w:b/>
                <w:szCs w:val="20"/>
              </w:rPr>
              <w:t>1</w:t>
            </w:r>
          </w:p>
        </w:tc>
        <w:tc>
          <w:tcPr>
            <w:tcW w:w="2694" w:type="dxa"/>
            <w:vAlign w:val="center"/>
          </w:tcPr>
          <w:p w14:paraId="4356A17E" w14:textId="77777777" w:rsidR="00A973D0" w:rsidRPr="00FC6262" w:rsidRDefault="00A973D0" w:rsidP="00BE7604">
            <w:pPr>
              <w:ind w:right="-34"/>
              <w:jc w:val="center"/>
              <w:rPr>
                <w:rFonts w:ascii="Graphik Regular" w:hAnsi="Graphik Regular"/>
                <w:b/>
                <w:szCs w:val="20"/>
              </w:rPr>
            </w:pPr>
            <w:r>
              <w:rPr>
                <w:rFonts w:ascii="Graphik Regular" w:hAnsi="Graphik Regular"/>
                <w:b/>
                <w:szCs w:val="20"/>
              </w:rPr>
              <w:t>1</w:t>
            </w:r>
          </w:p>
        </w:tc>
      </w:tr>
      <w:tr w:rsidR="00A973D0" w:rsidRPr="00FC6262" w14:paraId="3EA10EDB" w14:textId="77777777" w:rsidTr="003D39BE">
        <w:trPr>
          <w:trHeight w:val="851"/>
          <w:jc w:val="center"/>
        </w:trPr>
        <w:tc>
          <w:tcPr>
            <w:tcW w:w="1701" w:type="dxa"/>
            <w:shd w:val="clear" w:color="auto" w:fill="00CC00"/>
            <w:vAlign w:val="center"/>
          </w:tcPr>
          <w:p w14:paraId="1CF0007D" w14:textId="77777777" w:rsidR="00A973D0" w:rsidRPr="00FC6262" w:rsidRDefault="00A973D0" w:rsidP="00BE7604">
            <w:pPr>
              <w:ind w:right="-34"/>
              <w:jc w:val="center"/>
              <w:rPr>
                <w:rFonts w:ascii="Graphik Regular" w:hAnsi="Graphik Regular"/>
                <w:b/>
                <w:szCs w:val="20"/>
              </w:rPr>
            </w:pPr>
            <w:r w:rsidRPr="00FC6262">
              <w:rPr>
                <w:rFonts w:ascii="Graphik Regular" w:hAnsi="Graphik Regular"/>
                <w:b/>
                <w:szCs w:val="20"/>
              </w:rPr>
              <w:t>III</w:t>
            </w:r>
          </w:p>
        </w:tc>
        <w:tc>
          <w:tcPr>
            <w:tcW w:w="2835" w:type="dxa"/>
            <w:vAlign w:val="center"/>
          </w:tcPr>
          <w:p w14:paraId="3E4F727C" w14:textId="77777777" w:rsidR="00A973D0" w:rsidRPr="00FC6262" w:rsidRDefault="00896297" w:rsidP="00BE7604">
            <w:pPr>
              <w:ind w:right="-34"/>
              <w:jc w:val="center"/>
              <w:rPr>
                <w:rFonts w:ascii="Graphik Regular" w:hAnsi="Graphik Regular"/>
                <w:b/>
                <w:szCs w:val="20"/>
              </w:rPr>
            </w:pPr>
            <w:r>
              <w:rPr>
                <w:rFonts w:ascii="Graphik Regular" w:hAnsi="Graphik Regular"/>
                <w:b/>
                <w:szCs w:val="20"/>
              </w:rPr>
              <w:t>2</w:t>
            </w:r>
          </w:p>
        </w:tc>
        <w:tc>
          <w:tcPr>
            <w:tcW w:w="2694" w:type="dxa"/>
            <w:vAlign w:val="center"/>
          </w:tcPr>
          <w:p w14:paraId="08E7C5EF" w14:textId="77777777" w:rsidR="00A973D0" w:rsidRPr="00FC6262" w:rsidRDefault="00896297" w:rsidP="00BE7604">
            <w:pPr>
              <w:ind w:right="-34"/>
              <w:jc w:val="center"/>
              <w:rPr>
                <w:rFonts w:ascii="Graphik Regular" w:hAnsi="Graphik Regular"/>
                <w:b/>
                <w:szCs w:val="20"/>
              </w:rPr>
            </w:pPr>
            <w:r>
              <w:rPr>
                <w:rFonts w:ascii="Graphik Regular" w:hAnsi="Graphik Regular"/>
                <w:b/>
                <w:szCs w:val="20"/>
              </w:rPr>
              <w:t>2</w:t>
            </w:r>
          </w:p>
        </w:tc>
      </w:tr>
      <w:tr w:rsidR="00A973D0" w:rsidRPr="00FC6262" w14:paraId="5F8053D3" w14:textId="77777777" w:rsidTr="003D39BE">
        <w:trPr>
          <w:trHeight w:val="851"/>
          <w:jc w:val="center"/>
        </w:trPr>
        <w:tc>
          <w:tcPr>
            <w:tcW w:w="1701" w:type="dxa"/>
            <w:shd w:val="clear" w:color="auto" w:fill="21F7F7"/>
            <w:vAlign w:val="center"/>
          </w:tcPr>
          <w:p w14:paraId="43C3C7C4" w14:textId="77777777" w:rsidR="00A973D0" w:rsidRPr="00FC6262" w:rsidRDefault="00A973D0" w:rsidP="00BE7604">
            <w:pPr>
              <w:ind w:right="-34"/>
              <w:jc w:val="center"/>
              <w:rPr>
                <w:rFonts w:ascii="Graphik Regular" w:hAnsi="Graphik Regular"/>
                <w:b/>
                <w:szCs w:val="20"/>
              </w:rPr>
            </w:pPr>
            <w:r w:rsidRPr="00FC6262">
              <w:rPr>
                <w:rFonts w:ascii="Graphik Regular" w:hAnsi="Graphik Regular"/>
                <w:b/>
                <w:szCs w:val="20"/>
              </w:rPr>
              <w:t>IV</w:t>
            </w:r>
          </w:p>
        </w:tc>
        <w:tc>
          <w:tcPr>
            <w:tcW w:w="2835" w:type="dxa"/>
            <w:vAlign w:val="center"/>
          </w:tcPr>
          <w:p w14:paraId="48D38CBC" w14:textId="77777777" w:rsidR="00A973D0" w:rsidRPr="00FC6262" w:rsidRDefault="00A973D0" w:rsidP="00BE7604">
            <w:pPr>
              <w:ind w:right="-34"/>
              <w:jc w:val="center"/>
              <w:rPr>
                <w:rFonts w:ascii="Graphik Regular" w:hAnsi="Graphik Regular"/>
                <w:b/>
                <w:szCs w:val="20"/>
              </w:rPr>
            </w:pPr>
            <w:r>
              <w:rPr>
                <w:rFonts w:ascii="Graphik Regular" w:hAnsi="Graphik Regular"/>
                <w:b/>
                <w:szCs w:val="20"/>
              </w:rPr>
              <w:t>1</w:t>
            </w:r>
          </w:p>
        </w:tc>
        <w:tc>
          <w:tcPr>
            <w:tcW w:w="2694" w:type="dxa"/>
            <w:vAlign w:val="center"/>
          </w:tcPr>
          <w:p w14:paraId="76CADCAA" w14:textId="77777777" w:rsidR="00A973D0" w:rsidRPr="00FC6262" w:rsidRDefault="00A973D0" w:rsidP="00BE7604">
            <w:pPr>
              <w:ind w:right="-34"/>
              <w:jc w:val="center"/>
              <w:rPr>
                <w:rFonts w:ascii="Graphik Regular" w:hAnsi="Graphik Regular"/>
                <w:b/>
                <w:szCs w:val="20"/>
              </w:rPr>
            </w:pPr>
            <w:r>
              <w:rPr>
                <w:rFonts w:ascii="Graphik Regular" w:hAnsi="Graphik Regular"/>
                <w:b/>
                <w:szCs w:val="20"/>
              </w:rPr>
              <w:t>1</w:t>
            </w:r>
          </w:p>
        </w:tc>
      </w:tr>
    </w:tbl>
    <w:p w14:paraId="591CBF69" w14:textId="77777777" w:rsidR="002D1FBE" w:rsidRDefault="002D1FBE" w:rsidP="002D1FBE">
      <w:pPr>
        <w:pStyle w:val="Prrafodelista"/>
        <w:spacing w:after="240"/>
        <w:ind w:left="425" w:right="-34"/>
        <w:jc w:val="both"/>
        <w:rPr>
          <w:rFonts w:ascii="Graphik Regular" w:hAnsi="Graphik Regular"/>
          <w:b/>
          <w:szCs w:val="20"/>
        </w:rPr>
      </w:pPr>
    </w:p>
    <w:p w14:paraId="3EE7FF5A" w14:textId="77777777" w:rsidR="00600BB0" w:rsidRDefault="00600BB0" w:rsidP="002D1FBE">
      <w:pPr>
        <w:pStyle w:val="Prrafodelista"/>
        <w:spacing w:after="240"/>
        <w:ind w:left="425" w:right="-34"/>
        <w:jc w:val="both"/>
        <w:rPr>
          <w:rFonts w:ascii="Graphik Regular" w:hAnsi="Graphik Regular"/>
          <w:b/>
          <w:szCs w:val="20"/>
        </w:rPr>
      </w:pPr>
    </w:p>
    <w:p w14:paraId="653C0239" w14:textId="39ECB59D" w:rsidR="00BE7604" w:rsidRDefault="00D9197C" w:rsidP="00896297">
      <w:pPr>
        <w:pStyle w:val="Prrafodelista"/>
        <w:spacing w:after="240"/>
        <w:ind w:left="0" w:right="-34"/>
        <w:jc w:val="both"/>
        <w:rPr>
          <w:rFonts w:ascii="Graphik Regular" w:hAnsi="Graphik Regular"/>
          <w:szCs w:val="20"/>
        </w:rPr>
      </w:pPr>
      <w:r w:rsidRPr="005365CC">
        <w:rPr>
          <w:rFonts w:ascii="Graphik Regular" w:hAnsi="Graphik Regular"/>
          <w:szCs w:val="20"/>
        </w:rPr>
        <w:lastRenderedPageBreak/>
        <w:t xml:space="preserve">Se puede apreciar que </w:t>
      </w:r>
      <w:r w:rsidR="00BE7604">
        <w:rPr>
          <w:rFonts w:ascii="Graphik Regular" w:hAnsi="Graphik Regular"/>
          <w:szCs w:val="20"/>
        </w:rPr>
        <w:t>tres</w:t>
      </w:r>
      <w:r w:rsidRPr="005365CC">
        <w:rPr>
          <w:rFonts w:ascii="Graphik Regular" w:hAnsi="Graphik Regular"/>
          <w:szCs w:val="20"/>
        </w:rPr>
        <w:t xml:space="preserve"> de los </w:t>
      </w:r>
      <w:r w:rsidR="000C383C">
        <w:rPr>
          <w:rFonts w:ascii="Graphik Regular" w:hAnsi="Graphik Regular"/>
          <w:szCs w:val="20"/>
        </w:rPr>
        <w:t>r</w:t>
      </w:r>
      <w:r w:rsidRPr="005365CC">
        <w:rPr>
          <w:rFonts w:ascii="Graphik Regular" w:hAnsi="Graphik Regular"/>
          <w:szCs w:val="20"/>
        </w:rPr>
        <w:t xml:space="preserve">iesgos detectados </w:t>
      </w:r>
      <w:r w:rsidR="00BE7604">
        <w:rPr>
          <w:rFonts w:ascii="Graphik Regular" w:hAnsi="Graphik Regular"/>
          <w:szCs w:val="20"/>
        </w:rPr>
        <w:t>en el ejercicio 201</w:t>
      </w:r>
      <w:r w:rsidR="00833A60">
        <w:rPr>
          <w:rFonts w:ascii="Graphik Regular" w:hAnsi="Graphik Regular"/>
          <w:szCs w:val="20"/>
        </w:rPr>
        <w:t>9</w:t>
      </w:r>
      <w:r w:rsidRPr="005365CC">
        <w:rPr>
          <w:rFonts w:ascii="Graphik Regular" w:hAnsi="Graphik Regular"/>
          <w:szCs w:val="20"/>
        </w:rPr>
        <w:t xml:space="preserve"> del proceso de</w:t>
      </w:r>
      <w:r w:rsidR="005365CC" w:rsidRPr="005365CC">
        <w:rPr>
          <w:rFonts w:ascii="Graphik Regular" w:hAnsi="Graphik Regular"/>
          <w:szCs w:val="20"/>
        </w:rPr>
        <w:t xml:space="preserve"> A</w:t>
      </w:r>
      <w:r w:rsidRPr="005365CC">
        <w:rPr>
          <w:rFonts w:ascii="Graphik Regular" w:hAnsi="Graphik Regular"/>
          <w:szCs w:val="20"/>
        </w:rPr>
        <w:t>dministración de</w:t>
      </w:r>
      <w:r w:rsidR="005365CC" w:rsidRPr="005365CC">
        <w:rPr>
          <w:rFonts w:ascii="Graphik Regular" w:hAnsi="Graphik Regular"/>
          <w:szCs w:val="20"/>
        </w:rPr>
        <w:t xml:space="preserve"> R</w:t>
      </w:r>
      <w:r w:rsidRPr="005365CC">
        <w:rPr>
          <w:rFonts w:ascii="Graphik Regular" w:hAnsi="Graphik Regular"/>
          <w:szCs w:val="20"/>
        </w:rPr>
        <w:t>iesgos se ubicaban en el Cuadrante I (</w:t>
      </w:r>
      <w:r w:rsidR="005365CC" w:rsidRPr="005365CC">
        <w:rPr>
          <w:rFonts w:ascii="Graphik Regular" w:hAnsi="Graphik Regular"/>
          <w:szCs w:val="20"/>
        </w:rPr>
        <w:t xml:space="preserve">Riesgos de Atención Inmediata), </w:t>
      </w:r>
      <w:r w:rsidR="00BE7604">
        <w:rPr>
          <w:rFonts w:ascii="Graphik Regular" w:hAnsi="Graphik Regular"/>
          <w:szCs w:val="20"/>
        </w:rPr>
        <w:t>uno en el Cuadrante II (</w:t>
      </w:r>
      <w:r w:rsidR="00BE7604" w:rsidRPr="00BE7604">
        <w:rPr>
          <w:rFonts w:ascii="Graphik Regular" w:hAnsi="Graphik Regular"/>
          <w:szCs w:val="20"/>
        </w:rPr>
        <w:t>Riesgos de Atención Periódica</w:t>
      </w:r>
      <w:r w:rsidR="00BE7604">
        <w:rPr>
          <w:rFonts w:ascii="Graphik Regular" w:hAnsi="Graphik Regular"/>
          <w:szCs w:val="20"/>
        </w:rPr>
        <w:t xml:space="preserve">), </w:t>
      </w:r>
      <w:r w:rsidR="000C383C">
        <w:rPr>
          <w:rFonts w:ascii="Graphik Regular" w:hAnsi="Graphik Regular"/>
          <w:szCs w:val="20"/>
        </w:rPr>
        <w:t>otro</w:t>
      </w:r>
      <w:r w:rsidR="00BE7604">
        <w:rPr>
          <w:rFonts w:ascii="Graphik Regular" w:hAnsi="Graphik Regular"/>
          <w:szCs w:val="20"/>
        </w:rPr>
        <w:t xml:space="preserve"> en el Cuadrante III (</w:t>
      </w:r>
      <w:r w:rsidR="00BE7604" w:rsidRPr="00BE7604">
        <w:rPr>
          <w:rFonts w:ascii="Graphik Regular" w:hAnsi="Graphik Regular"/>
          <w:szCs w:val="20"/>
        </w:rPr>
        <w:t>Riesgos Controlados</w:t>
      </w:r>
      <w:r w:rsidR="00BE7604">
        <w:rPr>
          <w:rFonts w:ascii="Graphik Regular" w:hAnsi="Graphik Regular"/>
          <w:szCs w:val="20"/>
        </w:rPr>
        <w:t xml:space="preserve">) y </w:t>
      </w:r>
      <w:r w:rsidR="000C383C">
        <w:rPr>
          <w:rFonts w:ascii="Graphik Regular" w:hAnsi="Graphik Regular"/>
          <w:szCs w:val="20"/>
        </w:rPr>
        <w:t>el último</w:t>
      </w:r>
      <w:r w:rsidR="00BE7604">
        <w:rPr>
          <w:rFonts w:ascii="Graphik Regular" w:hAnsi="Graphik Regular"/>
          <w:szCs w:val="20"/>
        </w:rPr>
        <w:t xml:space="preserve"> en el Cuadrante IV ( </w:t>
      </w:r>
      <w:r w:rsidR="00BE7604" w:rsidRPr="00BE7604">
        <w:rPr>
          <w:rFonts w:ascii="Graphik Regular" w:hAnsi="Graphik Regular"/>
          <w:szCs w:val="20"/>
        </w:rPr>
        <w:t>Riesgos de Seguimiento</w:t>
      </w:r>
      <w:r w:rsidR="00BE7604">
        <w:rPr>
          <w:rFonts w:ascii="Graphik Regular" w:hAnsi="Graphik Regular"/>
          <w:szCs w:val="20"/>
        </w:rPr>
        <w:t>), por lo que se aplicaron</w:t>
      </w:r>
      <w:r w:rsidR="005365CC" w:rsidRPr="005365CC">
        <w:rPr>
          <w:rFonts w:ascii="Graphik Regular" w:hAnsi="Graphik Regular"/>
          <w:szCs w:val="20"/>
        </w:rPr>
        <w:t xml:space="preserve"> acciones de control</w:t>
      </w:r>
      <w:r w:rsidR="00290ACD">
        <w:rPr>
          <w:rFonts w:ascii="Graphik Regular" w:hAnsi="Graphik Regular"/>
          <w:szCs w:val="20"/>
        </w:rPr>
        <w:t xml:space="preserve"> para su mitigación</w:t>
      </w:r>
      <w:r w:rsidR="00001E46">
        <w:rPr>
          <w:rFonts w:ascii="Graphik Regular" w:hAnsi="Graphik Regular"/>
          <w:szCs w:val="20"/>
        </w:rPr>
        <w:t>,</w:t>
      </w:r>
      <w:r w:rsidR="00BE7604">
        <w:rPr>
          <w:rFonts w:ascii="Graphik Regular" w:hAnsi="Graphik Regular"/>
          <w:szCs w:val="20"/>
        </w:rPr>
        <w:t xml:space="preserve"> sin embargo, </w:t>
      </w:r>
      <w:r w:rsidR="005365CC" w:rsidRPr="005365CC">
        <w:rPr>
          <w:rFonts w:ascii="Graphik Regular" w:hAnsi="Graphik Regular"/>
          <w:szCs w:val="20"/>
        </w:rPr>
        <w:t xml:space="preserve">estos mismos </w:t>
      </w:r>
      <w:r w:rsidR="000C383C">
        <w:rPr>
          <w:rFonts w:ascii="Graphik Regular" w:hAnsi="Graphik Regular"/>
          <w:szCs w:val="20"/>
        </w:rPr>
        <w:t>r</w:t>
      </w:r>
      <w:r w:rsidR="005365CC" w:rsidRPr="005365CC">
        <w:rPr>
          <w:rFonts w:ascii="Graphik Regular" w:hAnsi="Graphik Regular"/>
          <w:szCs w:val="20"/>
        </w:rPr>
        <w:t>iesgos se ubicaron</w:t>
      </w:r>
      <w:r w:rsidR="00BE7604">
        <w:rPr>
          <w:rFonts w:ascii="Graphik Regular" w:hAnsi="Graphik Regular"/>
          <w:szCs w:val="20"/>
        </w:rPr>
        <w:t xml:space="preserve"> en los mismos cuadrante para el ejercicio 20</w:t>
      </w:r>
      <w:r w:rsidR="00833A60">
        <w:rPr>
          <w:rFonts w:ascii="Graphik Regular" w:hAnsi="Graphik Regular"/>
          <w:szCs w:val="20"/>
        </w:rPr>
        <w:t>20</w:t>
      </w:r>
      <w:r w:rsidR="00290ACD">
        <w:rPr>
          <w:rFonts w:ascii="Graphik Regular" w:hAnsi="Graphik Regular"/>
          <w:szCs w:val="20"/>
        </w:rPr>
        <w:t>, toda vez que derivado de un análisis detallado de su comportamiento, seguían manteniendo el mismo estatus</w:t>
      </w:r>
      <w:r w:rsidR="000C383C">
        <w:rPr>
          <w:rFonts w:ascii="Graphik Regular" w:hAnsi="Graphik Regular"/>
          <w:szCs w:val="20"/>
        </w:rPr>
        <w:t xml:space="preserve"> por lo que se implementarán nuevas acciones de control</w:t>
      </w:r>
      <w:r w:rsidR="00BE7604">
        <w:rPr>
          <w:rFonts w:ascii="Graphik Regular" w:hAnsi="Graphik Regular"/>
          <w:szCs w:val="20"/>
        </w:rPr>
        <w:t xml:space="preserve"> </w:t>
      </w:r>
      <w:r w:rsidR="005365CC" w:rsidRPr="005365CC">
        <w:rPr>
          <w:rFonts w:ascii="Graphik Regular" w:hAnsi="Graphik Regular"/>
          <w:szCs w:val="20"/>
        </w:rPr>
        <w:t>para reducir</w:t>
      </w:r>
      <w:r w:rsidR="00001E46">
        <w:rPr>
          <w:rFonts w:ascii="Graphik Regular" w:hAnsi="Graphik Regular"/>
          <w:szCs w:val="20"/>
        </w:rPr>
        <w:t xml:space="preserve"> el </w:t>
      </w:r>
      <w:r w:rsidR="000C383C">
        <w:rPr>
          <w:rFonts w:ascii="Graphik Regular" w:hAnsi="Graphik Regular"/>
          <w:szCs w:val="20"/>
        </w:rPr>
        <w:t>g</w:t>
      </w:r>
      <w:r w:rsidR="00001E46">
        <w:rPr>
          <w:rFonts w:ascii="Graphik Regular" w:hAnsi="Graphik Regular"/>
          <w:szCs w:val="20"/>
        </w:rPr>
        <w:t xml:space="preserve">rado de </w:t>
      </w:r>
      <w:r w:rsidR="000C383C">
        <w:rPr>
          <w:rFonts w:ascii="Graphik Regular" w:hAnsi="Graphik Regular"/>
          <w:szCs w:val="20"/>
        </w:rPr>
        <w:t>i</w:t>
      </w:r>
      <w:r w:rsidR="00001E46">
        <w:rPr>
          <w:rFonts w:ascii="Graphik Regular" w:hAnsi="Graphik Regular"/>
          <w:szCs w:val="20"/>
        </w:rPr>
        <w:t xml:space="preserve">mpacto de </w:t>
      </w:r>
      <w:r w:rsidR="00786B79">
        <w:rPr>
          <w:rFonts w:ascii="Graphik Regular" w:hAnsi="Graphik Regular"/>
          <w:szCs w:val="20"/>
        </w:rPr>
        <w:t xml:space="preserve">los </w:t>
      </w:r>
      <w:r w:rsidR="000C383C">
        <w:rPr>
          <w:rFonts w:ascii="Graphik Regular" w:hAnsi="Graphik Regular"/>
          <w:szCs w:val="20"/>
        </w:rPr>
        <w:t>r</w:t>
      </w:r>
      <w:r w:rsidR="005365CC" w:rsidRPr="005365CC">
        <w:rPr>
          <w:rFonts w:ascii="Graphik Regular" w:hAnsi="Graphik Regular"/>
          <w:szCs w:val="20"/>
        </w:rPr>
        <w:t>iesgo</w:t>
      </w:r>
      <w:r w:rsidR="00786B79">
        <w:rPr>
          <w:rFonts w:ascii="Graphik Regular" w:hAnsi="Graphik Regular"/>
          <w:szCs w:val="20"/>
        </w:rPr>
        <w:t>s identificados,</w:t>
      </w:r>
      <w:r w:rsidR="00001E46">
        <w:rPr>
          <w:rFonts w:ascii="Graphik Regular" w:hAnsi="Graphik Regular"/>
          <w:szCs w:val="20"/>
        </w:rPr>
        <w:t xml:space="preserve"> así como una </w:t>
      </w:r>
      <w:r w:rsidR="00786B79">
        <w:rPr>
          <w:rFonts w:ascii="Graphik Regular" w:hAnsi="Graphik Regular"/>
          <w:szCs w:val="20"/>
        </w:rPr>
        <w:t xml:space="preserve">considerable </w:t>
      </w:r>
      <w:r w:rsidR="00001E46">
        <w:rPr>
          <w:rFonts w:ascii="Graphik Regular" w:hAnsi="Graphik Regular"/>
          <w:szCs w:val="20"/>
        </w:rPr>
        <w:t xml:space="preserve">disminución en la </w:t>
      </w:r>
      <w:r w:rsidR="000C383C">
        <w:rPr>
          <w:rFonts w:ascii="Graphik Regular" w:hAnsi="Graphik Regular"/>
          <w:szCs w:val="20"/>
        </w:rPr>
        <w:t>p</w:t>
      </w:r>
      <w:r w:rsidR="00001E46">
        <w:rPr>
          <w:rFonts w:ascii="Graphik Regular" w:hAnsi="Graphik Regular"/>
          <w:szCs w:val="20"/>
        </w:rPr>
        <w:t xml:space="preserve">robabilidad de </w:t>
      </w:r>
      <w:r w:rsidR="000C383C">
        <w:rPr>
          <w:rFonts w:ascii="Graphik Regular" w:hAnsi="Graphik Regular"/>
          <w:szCs w:val="20"/>
        </w:rPr>
        <w:t>o</w:t>
      </w:r>
      <w:r w:rsidR="00001E46">
        <w:rPr>
          <w:rFonts w:ascii="Graphik Regular" w:hAnsi="Graphik Regular"/>
          <w:szCs w:val="20"/>
        </w:rPr>
        <w:t>currencia</w:t>
      </w:r>
      <w:r w:rsidR="00786B79">
        <w:rPr>
          <w:rFonts w:ascii="Graphik Regular" w:hAnsi="Graphik Regular"/>
          <w:szCs w:val="20"/>
        </w:rPr>
        <w:t xml:space="preserve"> de los mismos, y que finalmente, refuer</w:t>
      </w:r>
      <w:r w:rsidR="000C383C">
        <w:rPr>
          <w:rFonts w:ascii="Graphik Regular" w:hAnsi="Graphik Regular"/>
          <w:szCs w:val="20"/>
        </w:rPr>
        <w:t>cen</w:t>
      </w:r>
      <w:r w:rsidR="00786B79">
        <w:rPr>
          <w:rFonts w:ascii="Graphik Regular" w:hAnsi="Graphik Regular"/>
          <w:szCs w:val="20"/>
        </w:rPr>
        <w:t xml:space="preserve"> la</w:t>
      </w:r>
      <w:r w:rsidR="000C383C">
        <w:rPr>
          <w:rFonts w:ascii="Graphik Regular" w:hAnsi="Graphik Regular"/>
          <w:szCs w:val="20"/>
        </w:rPr>
        <w:t>s</w:t>
      </w:r>
      <w:r w:rsidR="00786B79">
        <w:rPr>
          <w:rFonts w:ascii="Graphik Regular" w:hAnsi="Graphik Regular"/>
          <w:szCs w:val="20"/>
        </w:rPr>
        <w:t xml:space="preserve"> </w:t>
      </w:r>
      <w:r w:rsidR="000C383C">
        <w:rPr>
          <w:rFonts w:ascii="Graphik Regular" w:hAnsi="Graphik Regular"/>
          <w:szCs w:val="20"/>
        </w:rPr>
        <w:t>e</w:t>
      </w:r>
      <w:r w:rsidR="00786B79">
        <w:rPr>
          <w:rFonts w:ascii="Graphik Regular" w:hAnsi="Graphik Regular"/>
          <w:szCs w:val="20"/>
        </w:rPr>
        <w:t>strategia</w:t>
      </w:r>
      <w:r w:rsidR="000C383C">
        <w:rPr>
          <w:rFonts w:ascii="Graphik Regular" w:hAnsi="Graphik Regular"/>
          <w:szCs w:val="20"/>
        </w:rPr>
        <w:t>s</w:t>
      </w:r>
      <w:r w:rsidR="00786B79">
        <w:rPr>
          <w:rFonts w:ascii="Graphik Regular" w:hAnsi="Graphik Regular"/>
          <w:szCs w:val="20"/>
        </w:rPr>
        <w:t xml:space="preserve"> para </w:t>
      </w:r>
      <w:r w:rsidR="000C383C">
        <w:rPr>
          <w:rFonts w:ascii="Graphik Regular" w:hAnsi="Graphik Regular"/>
          <w:szCs w:val="20"/>
        </w:rPr>
        <w:t>a</w:t>
      </w:r>
      <w:r w:rsidR="00786B79">
        <w:rPr>
          <w:rFonts w:ascii="Graphik Regular" w:hAnsi="Graphik Regular"/>
          <w:szCs w:val="20"/>
        </w:rPr>
        <w:t xml:space="preserve">dministrar los </w:t>
      </w:r>
      <w:r w:rsidR="000C383C">
        <w:rPr>
          <w:rFonts w:ascii="Graphik Regular" w:hAnsi="Graphik Regular"/>
          <w:szCs w:val="20"/>
        </w:rPr>
        <w:t>r</w:t>
      </w:r>
      <w:r w:rsidR="00786B79">
        <w:rPr>
          <w:rFonts w:ascii="Graphik Regular" w:hAnsi="Graphik Regular"/>
          <w:szCs w:val="20"/>
        </w:rPr>
        <w:t>iesgos de la Secretarí</w:t>
      </w:r>
      <w:r w:rsidR="000C383C">
        <w:rPr>
          <w:rFonts w:ascii="Graphik Regular" w:hAnsi="Graphik Regular"/>
          <w:szCs w:val="20"/>
        </w:rPr>
        <w:t>a</w:t>
      </w:r>
      <w:r w:rsidR="00786B79">
        <w:rPr>
          <w:rFonts w:ascii="Graphik Regular" w:hAnsi="Graphik Regular"/>
          <w:szCs w:val="20"/>
        </w:rPr>
        <w:t>.</w:t>
      </w:r>
    </w:p>
    <w:p w14:paraId="4A2E3F70" w14:textId="7615671B" w:rsidR="00896297" w:rsidRDefault="00896297" w:rsidP="00896297">
      <w:pPr>
        <w:pStyle w:val="Prrafodelista"/>
        <w:spacing w:after="240"/>
        <w:ind w:left="0" w:right="-34"/>
        <w:jc w:val="both"/>
        <w:rPr>
          <w:rFonts w:ascii="Graphik Regular" w:hAnsi="Graphik Regular"/>
          <w:szCs w:val="20"/>
        </w:rPr>
      </w:pPr>
    </w:p>
    <w:p w14:paraId="2E215E5C" w14:textId="77777777" w:rsidR="008202E1" w:rsidRDefault="008202E1" w:rsidP="00896297">
      <w:pPr>
        <w:pStyle w:val="Prrafodelista"/>
        <w:spacing w:after="240"/>
        <w:ind w:left="0" w:right="-34"/>
        <w:jc w:val="both"/>
        <w:rPr>
          <w:rFonts w:ascii="Graphik Regular" w:hAnsi="Graphik Regular"/>
          <w:szCs w:val="20"/>
        </w:rPr>
      </w:pPr>
    </w:p>
    <w:p w14:paraId="41CB7ACC" w14:textId="77777777" w:rsidR="00183FB8" w:rsidRDefault="00933940" w:rsidP="00933940">
      <w:pPr>
        <w:pStyle w:val="Prrafodelista"/>
        <w:numPr>
          <w:ilvl w:val="0"/>
          <w:numId w:val="1"/>
        </w:numPr>
        <w:spacing w:after="240"/>
        <w:ind w:left="425" w:right="-34" w:firstLine="1"/>
        <w:jc w:val="both"/>
        <w:rPr>
          <w:rFonts w:ascii="Graphik Regular" w:hAnsi="Graphik Regular"/>
          <w:b/>
          <w:szCs w:val="20"/>
        </w:rPr>
      </w:pPr>
      <w:r w:rsidRPr="00933940">
        <w:rPr>
          <w:rFonts w:ascii="Graphik Regular" w:hAnsi="Graphik Regular"/>
          <w:b/>
          <w:szCs w:val="20"/>
        </w:rPr>
        <w:t>Variación del total de riesgos y por cuadrante</w:t>
      </w:r>
      <w:r>
        <w:rPr>
          <w:rFonts w:ascii="Graphik Regular" w:hAnsi="Graphik Regular"/>
          <w:b/>
          <w:szCs w:val="20"/>
        </w:rPr>
        <w:t>.</w:t>
      </w:r>
    </w:p>
    <w:tbl>
      <w:tblPr>
        <w:tblStyle w:val="Tablaconcuadrcula"/>
        <w:tblW w:w="0" w:type="auto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45"/>
        <w:gridCol w:w="2250"/>
      </w:tblGrid>
      <w:tr w:rsidR="00A973D0" w:rsidRPr="00FC6262" w14:paraId="5F01C88A" w14:textId="77777777" w:rsidTr="00A973D0">
        <w:trPr>
          <w:trHeight w:val="833"/>
          <w:jc w:val="center"/>
        </w:trPr>
        <w:tc>
          <w:tcPr>
            <w:tcW w:w="2145" w:type="dxa"/>
            <w:shd w:val="clear" w:color="auto" w:fill="002060"/>
            <w:vAlign w:val="center"/>
          </w:tcPr>
          <w:p w14:paraId="3632BD5A" w14:textId="77777777" w:rsidR="00A973D0" w:rsidRPr="00FC6262" w:rsidRDefault="00A973D0" w:rsidP="00A973D0">
            <w:pPr>
              <w:ind w:right="-34"/>
              <w:jc w:val="center"/>
              <w:rPr>
                <w:rFonts w:ascii="Graphik Regular" w:hAnsi="Graphik Regular"/>
                <w:b/>
                <w:szCs w:val="20"/>
              </w:rPr>
            </w:pPr>
            <w:r>
              <w:rPr>
                <w:rFonts w:ascii="Graphik Regular" w:hAnsi="Graphik Regular"/>
                <w:b/>
                <w:szCs w:val="20"/>
              </w:rPr>
              <w:t>CUADRANTE</w:t>
            </w:r>
          </w:p>
        </w:tc>
        <w:tc>
          <w:tcPr>
            <w:tcW w:w="2250" w:type="dxa"/>
            <w:shd w:val="clear" w:color="auto" w:fill="002060"/>
            <w:vAlign w:val="center"/>
          </w:tcPr>
          <w:p w14:paraId="5396E5FC" w14:textId="2C6183B9" w:rsidR="00A973D0" w:rsidRPr="00FC6262" w:rsidRDefault="00A973D0" w:rsidP="002B56D7">
            <w:pPr>
              <w:ind w:right="-34"/>
              <w:jc w:val="center"/>
              <w:rPr>
                <w:rFonts w:ascii="Graphik Regular" w:hAnsi="Graphik Regular"/>
                <w:b/>
                <w:szCs w:val="20"/>
              </w:rPr>
            </w:pPr>
            <w:r>
              <w:rPr>
                <w:rFonts w:ascii="Graphik Regular" w:hAnsi="Graphik Regular"/>
                <w:b/>
                <w:szCs w:val="20"/>
              </w:rPr>
              <w:t>20</w:t>
            </w:r>
            <w:r w:rsidR="00833A60">
              <w:rPr>
                <w:rFonts w:ascii="Graphik Regular" w:hAnsi="Graphik Regular"/>
                <w:b/>
                <w:szCs w:val="20"/>
              </w:rPr>
              <w:t>20</w:t>
            </w:r>
          </w:p>
        </w:tc>
      </w:tr>
      <w:tr w:rsidR="00A973D0" w:rsidRPr="00FC6262" w14:paraId="58CC2BB7" w14:textId="77777777" w:rsidTr="00A973D0">
        <w:trPr>
          <w:trHeight w:val="851"/>
          <w:jc w:val="center"/>
        </w:trPr>
        <w:tc>
          <w:tcPr>
            <w:tcW w:w="2145" w:type="dxa"/>
            <w:shd w:val="clear" w:color="auto" w:fill="FF0000"/>
            <w:vAlign w:val="center"/>
          </w:tcPr>
          <w:p w14:paraId="627747B9" w14:textId="77777777" w:rsidR="00A973D0" w:rsidRPr="00FC6262" w:rsidRDefault="00A973D0" w:rsidP="001364FA">
            <w:pPr>
              <w:ind w:right="-34"/>
              <w:jc w:val="center"/>
              <w:rPr>
                <w:rFonts w:ascii="Graphik Regular" w:hAnsi="Graphik Regular"/>
                <w:b/>
                <w:szCs w:val="20"/>
              </w:rPr>
            </w:pPr>
            <w:r w:rsidRPr="00FC6262">
              <w:rPr>
                <w:rFonts w:ascii="Graphik Regular" w:hAnsi="Graphik Regular"/>
                <w:b/>
                <w:szCs w:val="20"/>
              </w:rPr>
              <w:t>I</w:t>
            </w:r>
          </w:p>
        </w:tc>
        <w:tc>
          <w:tcPr>
            <w:tcW w:w="2250" w:type="dxa"/>
            <w:vAlign w:val="center"/>
          </w:tcPr>
          <w:p w14:paraId="15076C23" w14:textId="77777777" w:rsidR="00A973D0" w:rsidRPr="00FC6262" w:rsidRDefault="00A973D0" w:rsidP="001364FA">
            <w:pPr>
              <w:ind w:right="-34"/>
              <w:jc w:val="center"/>
              <w:rPr>
                <w:rFonts w:ascii="Graphik Regular" w:hAnsi="Graphik Regular"/>
                <w:b/>
                <w:szCs w:val="20"/>
              </w:rPr>
            </w:pPr>
            <w:r>
              <w:rPr>
                <w:rFonts w:ascii="Graphik Regular" w:hAnsi="Graphik Regular"/>
                <w:b/>
                <w:szCs w:val="20"/>
              </w:rPr>
              <w:t>0</w:t>
            </w:r>
          </w:p>
        </w:tc>
      </w:tr>
      <w:tr w:rsidR="00A973D0" w:rsidRPr="00FC6262" w14:paraId="07CD13DF" w14:textId="77777777" w:rsidTr="00A973D0">
        <w:trPr>
          <w:trHeight w:val="851"/>
          <w:jc w:val="center"/>
        </w:trPr>
        <w:tc>
          <w:tcPr>
            <w:tcW w:w="2145" w:type="dxa"/>
            <w:tcBorders>
              <w:bottom w:val="double" w:sz="4" w:space="0" w:color="auto"/>
            </w:tcBorders>
            <w:shd w:val="clear" w:color="auto" w:fill="FFFF00"/>
            <w:vAlign w:val="center"/>
          </w:tcPr>
          <w:p w14:paraId="2BB603BE" w14:textId="77777777" w:rsidR="00A973D0" w:rsidRPr="00FC6262" w:rsidRDefault="00A973D0" w:rsidP="001364FA">
            <w:pPr>
              <w:ind w:right="-34"/>
              <w:jc w:val="center"/>
              <w:rPr>
                <w:rFonts w:ascii="Graphik Regular" w:hAnsi="Graphik Regular"/>
                <w:b/>
                <w:szCs w:val="20"/>
              </w:rPr>
            </w:pPr>
            <w:r w:rsidRPr="00FC6262">
              <w:rPr>
                <w:rFonts w:ascii="Graphik Regular" w:hAnsi="Graphik Regular"/>
                <w:b/>
                <w:szCs w:val="20"/>
              </w:rPr>
              <w:t>II</w:t>
            </w:r>
          </w:p>
        </w:tc>
        <w:tc>
          <w:tcPr>
            <w:tcW w:w="2250" w:type="dxa"/>
            <w:vAlign w:val="center"/>
          </w:tcPr>
          <w:p w14:paraId="00BA57F5" w14:textId="77777777" w:rsidR="00A973D0" w:rsidRPr="00FC6262" w:rsidRDefault="00A973D0" w:rsidP="001364FA">
            <w:pPr>
              <w:ind w:right="-34"/>
              <w:jc w:val="center"/>
              <w:rPr>
                <w:rFonts w:ascii="Graphik Regular" w:hAnsi="Graphik Regular"/>
                <w:b/>
                <w:szCs w:val="20"/>
              </w:rPr>
            </w:pPr>
            <w:r>
              <w:rPr>
                <w:rFonts w:ascii="Graphik Regular" w:hAnsi="Graphik Regular"/>
                <w:b/>
                <w:szCs w:val="20"/>
              </w:rPr>
              <w:t>0</w:t>
            </w:r>
          </w:p>
        </w:tc>
      </w:tr>
      <w:tr w:rsidR="00A973D0" w:rsidRPr="00FC6262" w14:paraId="6CCCD21E" w14:textId="77777777" w:rsidTr="00A973D0">
        <w:trPr>
          <w:trHeight w:val="851"/>
          <w:jc w:val="center"/>
        </w:trPr>
        <w:tc>
          <w:tcPr>
            <w:tcW w:w="2145" w:type="dxa"/>
            <w:shd w:val="clear" w:color="auto" w:fill="00CC00"/>
            <w:vAlign w:val="center"/>
          </w:tcPr>
          <w:p w14:paraId="617FF886" w14:textId="77777777" w:rsidR="00A973D0" w:rsidRPr="00FC6262" w:rsidRDefault="00A973D0" w:rsidP="001364FA">
            <w:pPr>
              <w:ind w:right="-34"/>
              <w:jc w:val="center"/>
              <w:rPr>
                <w:rFonts w:ascii="Graphik Regular" w:hAnsi="Graphik Regular"/>
                <w:b/>
                <w:szCs w:val="20"/>
              </w:rPr>
            </w:pPr>
            <w:r w:rsidRPr="00FC6262">
              <w:rPr>
                <w:rFonts w:ascii="Graphik Regular" w:hAnsi="Graphik Regular"/>
                <w:b/>
                <w:szCs w:val="20"/>
              </w:rPr>
              <w:t>III</w:t>
            </w:r>
          </w:p>
        </w:tc>
        <w:tc>
          <w:tcPr>
            <w:tcW w:w="2250" w:type="dxa"/>
            <w:vAlign w:val="center"/>
          </w:tcPr>
          <w:p w14:paraId="056E1FF6" w14:textId="77777777" w:rsidR="00A973D0" w:rsidRPr="00FC6262" w:rsidRDefault="00A973D0" w:rsidP="001364FA">
            <w:pPr>
              <w:ind w:right="-34"/>
              <w:jc w:val="center"/>
              <w:rPr>
                <w:rFonts w:ascii="Graphik Regular" w:hAnsi="Graphik Regular"/>
                <w:b/>
                <w:szCs w:val="20"/>
              </w:rPr>
            </w:pPr>
            <w:r>
              <w:rPr>
                <w:rFonts w:ascii="Graphik Regular" w:hAnsi="Graphik Regular"/>
                <w:b/>
                <w:szCs w:val="20"/>
              </w:rPr>
              <w:t>0</w:t>
            </w:r>
          </w:p>
        </w:tc>
      </w:tr>
      <w:tr w:rsidR="00A973D0" w:rsidRPr="00FC6262" w14:paraId="6ADDCA06" w14:textId="77777777" w:rsidTr="00A973D0">
        <w:trPr>
          <w:trHeight w:val="851"/>
          <w:jc w:val="center"/>
        </w:trPr>
        <w:tc>
          <w:tcPr>
            <w:tcW w:w="2145" w:type="dxa"/>
            <w:shd w:val="clear" w:color="auto" w:fill="21F7F7"/>
            <w:vAlign w:val="center"/>
          </w:tcPr>
          <w:p w14:paraId="08A5BA1E" w14:textId="77777777" w:rsidR="00A973D0" w:rsidRPr="00FC6262" w:rsidRDefault="00A973D0" w:rsidP="001364FA">
            <w:pPr>
              <w:ind w:right="-34"/>
              <w:jc w:val="center"/>
              <w:rPr>
                <w:rFonts w:ascii="Graphik Regular" w:hAnsi="Graphik Regular"/>
                <w:b/>
                <w:szCs w:val="20"/>
              </w:rPr>
            </w:pPr>
            <w:r w:rsidRPr="00FC6262">
              <w:rPr>
                <w:rFonts w:ascii="Graphik Regular" w:hAnsi="Graphik Regular"/>
                <w:b/>
                <w:szCs w:val="20"/>
              </w:rPr>
              <w:t>IV</w:t>
            </w:r>
          </w:p>
        </w:tc>
        <w:tc>
          <w:tcPr>
            <w:tcW w:w="2250" w:type="dxa"/>
            <w:vAlign w:val="center"/>
          </w:tcPr>
          <w:p w14:paraId="58E1D60E" w14:textId="77777777" w:rsidR="00A973D0" w:rsidRPr="00FC6262" w:rsidRDefault="00A973D0" w:rsidP="001364FA">
            <w:pPr>
              <w:ind w:right="-34"/>
              <w:jc w:val="center"/>
              <w:rPr>
                <w:rFonts w:ascii="Graphik Regular" w:hAnsi="Graphik Regular"/>
                <w:b/>
                <w:szCs w:val="20"/>
              </w:rPr>
            </w:pPr>
            <w:r>
              <w:rPr>
                <w:rFonts w:ascii="Graphik Regular" w:hAnsi="Graphik Regular"/>
                <w:b/>
                <w:szCs w:val="20"/>
              </w:rPr>
              <w:t>0</w:t>
            </w:r>
          </w:p>
        </w:tc>
      </w:tr>
    </w:tbl>
    <w:p w14:paraId="599C3A72" w14:textId="34071E0F" w:rsidR="00933940" w:rsidRDefault="00933940" w:rsidP="00933940">
      <w:pPr>
        <w:spacing w:after="240"/>
        <w:ind w:right="-34"/>
        <w:jc w:val="both"/>
        <w:rPr>
          <w:rFonts w:ascii="Graphik Regular" w:hAnsi="Graphik Regular"/>
          <w:b/>
          <w:szCs w:val="20"/>
        </w:rPr>
      </w:pPr>
    </w:p>
    <w:p w14:paraId="1018F4BA" w14:textId="28713DCB" w:rsidR="00833A60" w:rsidRDefault="00833A60" w:rsidP="00933940">
      <w:pPr>
        <w:spacing w:after="240"/>
        <w:ind w:right="-34"/>
        <w:jc w:val="both"/>
        <w:rPr>
          <w:rFonts w:ascii="Graphik Regular" w:hAnsi="Graphik Regular"/>
          <w:b/>
          <w:szCs w:val="20"/>
        </w:rPr>
      </w:pPr>
    </w:p>
    <w:p w14:paraId="1B5C4D65" w14:textId="77777777" w:rsidR="00833A60" w:rsidRDefault="00833A60" w:rsidP="00933940">
      <w:pPr>
        <w:spacing w:after="240"/>
        <w:ind w:right="-34"/>
        <w:jc w:val="both"/>
        <w:rPr>
          <w:rFonts w:ascii="Graphik Regular" w:hAnsi="Graphik Regular"/>
          <w:b/>
          <w:szCs w:val="20"/>
        </w:rPr>
      </w:pPr>
    </w:p>
    <w:p w14:paraId="597B0167" w14:textId="77777777" w:rsidR="00933940" w:rsidRPr="00933940" w:rsidRDefault="00933940" w:rsidP="004E25AC">
      <w:pPr>
        <w:pStyle w:val="Prrafodelista"/>
        <w:numPr>
          <w:ilvl w:val="0"/>
          <w:numId w:val="1"/>
        </w:numPr>
        <w:spacing w:after="240"/>
        <w:ind w:right="-34"/>
        <w:jc w:val="both"/>
        <w:rPr>
          <w:rFonts w:ascii="Graphik Regular" w:hAnsi="Graphik Regular"/>
          <w:b/>
          <w:szCs w:val="20"/>
        </w:rPr>
      </w:pPr>
      <w:r w:rsidRPr="00933940">
        <w:rPr>
          <w:rFonts w:ascii="Graphik Regular" w:hAnsi="Graphik Regular"/>
          <w:b/>
          <w:szCs w:val="20"/>
        </w:rPr>
        <w:lastRenderedPageBreak/>
        <w:t>Conclusiones sobre los resultados alcanzados en relación con los esperados, tanto cuantitativos como</w:t>
      </w:r>
      <w:r>
        <w:rPr>
          <w:rFonts w:ascii="Graphik Regular" w:hAnsi="Graphik Regular"/>
          <w:b/>
          <w:szCs w:val="20"/>
        </w:rPr>
        <w:t xml:space="preserve"> </w:t>
      </w:r>
      <w:r w:rsidRPr="00933940">
        <w:rPr>
          <w:rFonts w:ascii="Graphik Regular" w:hAnsi="Graphik Regular"/>
          <w:b/>
          <w:szCs w:val="20"/>
        </w:rPr>
        <w:t>cualitativos de la administración de riesgos.</w:t>
      </w:r>
    </w:p>
    <w:p w14:paraId="5EF1AC06" w14:textId="77777777" w:rsidR="00433743" w:rsidRDefault="00433743" w:rsidP="00433743">
      <w:pPr>
        <w:pStyle w:val="Prrafodelista"/>
        <w:spacing w:after="240"/>
        <w:ind w:left="425" w:right="-34"/>
        <w:jc w:val="both"/>
        <w:rPr>
          <w:rFonts w:ascii="Graphik Regular" w:hAnsi="Graphik Regular"/>
          <w:b/>
          <w:szCs w:val="20"/>
        </w:rPr>
      </w:pPr>
    </w:p>
    <w:p w14:paraId="786159B0" w14:textId="77777777" w:rsidR="0088035E" w:rsidRDefault="0088035E" w:rsidP="00433743">
      <w:pPr>
        <w:pStyle w:val="Prrafodelista"/>
        <w:ind w:left="0" w:right="-35"/>
        <w:jc w:val="both"/>
        <w:rPr>
          <w:rFonts w:ascii="Graphik Regular" w:hAnsi="Graphik Regular"/>
          <w:b/>
        </w:rPr>
      </w:pPr>
      <w:r w:rsidRPr="0088035E">
        <w:rPr>
          <w:rFonts w:ascii="Graphik Regular" w:hAnsi="Graphik Regular"/>
          <w:b/>
        </w:rPr>
        <w:t>Resultados Cuantitativos:</w:t>
      </w:r>
    </w:p>
    <w:p w14:paraId="49BAAA46" w14:textId="77777777" w:rsidR="001364FA" w:rsidRPr="0088035E" w:rsidRDefault="001364FA" w:rsidP="00433743">
      <w:pPr>
        <w:pStyle w:val="Prrafodelista"/>
        <w:ind w:left="0" w:right="-35"/>
        <w:jc w:val="both"/>
        <w:rPr>
          <w:rFonts w:ascii="Graphik Regular" w:hAnsi="Graphik Regular"/>
          <w:b/>
        </w:rPr>
      </w:pPr>
    </w:p>
    <w:p w14:paraId="19232AA8" w14:textId="3F11DB75" w:rsidR="009853E0" w:rsidRDefault="00433743" w:rsidP="00433743">
      <w:pPr>
        <w:pStyle w:val="Prrafodelista"/>
        <w:ind w:left="0" w:right="-35"/>
        <w:jc w:val="both"/>
        <w:rPr>
          <w:rFonts w:ascii="Graphik Regular" w:hAnsi="Graphik Regular"/>
        </w:rPr>
      </w:pPr>
      <w:r>
        <w:rPr>
          <w:rFonts w:ascii="Graphik Regular" w:eastAsia="Calibri" w:hAnsi="Graphik Regular" w:cs="Times New Roman"/>
        </w:rPr>
        <w:t>La implementación de las acciones de control,</w:t>
      </w:r>
      <w:r w:rsidR="0088035E">
        <w:rPr>
          <w:rFonts w:ascii="Graphik Regular" w:hAnsi="Graphik Regular"/>
        </w:rPr>
        <w:t xml:space="preserve"> como parte de la </w:t>
      </w:r>
      <w:r w:rsidR="00914C42">
        <w:rPr>
          <w:rFonts w:ascii="Graphik Regular" w:hAnsi="Graphik Regular"/>
        </w:rPr>
        <w:t>e</w:t>
      </w:r>
      <w:r w:rsidR="0088035E">
        <w:rPr>
          <w:rFonts w:ascii="Graphik Regular" w:hAnsi="Graphik Regular"/>
        </w:rPr>
        <w:t xml:space="preserve">strategia de </w:t>
      </w:r>
      <w:r w:rsidR="00914C42">
        <w:rPr>
          <w:rFonts w:ascii="Graphik Regular" w:hAnsi="Graphik Regular"/>
        </w:rPr>
        <w:t>r</w:t>
      </w:r>
      <w:r w:rsidR="0088035E">
        <w:rPr>
          <w:rFonts w:ascii="Graphik Regular" w:hAnsi="Graphik Regular"/>
        </w:rPr>
        <w:t xml:space="preserve">educir los </w:t>
      </w:r>
      <w:r w:rsidR="00914C42">
        <w:rPr>
          <w:rFonts w:ascii="Graphik Regular" w:hAnsi="Graphik Regular"/>
        </w:rPr>
        <w:t>r</w:t>
      </w:r>
      <w:r w:rsidR="0088035E">
        <w:rPr>
          <w:rFonts w:ascii="Graphik Regular" w:hAnsi="Graphik Regular"/>
        </w:rPr>
        <w:t xml:space="preserve">iesgos de la </w:t>
      </w:r>
      <w:r w:rsidR="008B5B10">
        <w:rPr>
          <w:rFonts w:ascii="Graphik Regular" w:hAnsi="Graphik Regular"/>
        </w:rPr>
        <w:t>Dependencia</w:t>
      </w:r>
      <w:r w:rsidR="0088035E">
        <w:rPr>
          <w:rFonts w:ascii="Graphik Regular" w:hAnsi="Graphik Regular"/>
        </w:rPr>
        <w:t xml:space="preserve"> en los procesos prioritarios de los programas y proyectos</w:t>
      </w:r>
      <w:r w:rsidR="000D16AB">
        <w:rPr>
          <w:rFonts w:ascii="Graphik Regular" w:hAnsi="Graphik Regular"/>
        </w:rPr>
        <w:t>,</w:t>
      </w:r>
      <w:r w:rsidR="0088035E">
        <w:rPr>
          <w:rFonts w:ascii="Graphik Regular" w:hAnsi="Graphik Regular"/>
        </w:rPr>
        <w:t xml:space="preserve"> que son el medio para el logro de los </w:t>
      </w:r>
      <w:r w:rsidR="00914C42">
        <w:rPr>
          <w:rFonts w:ascii="Graphik Regular" w:hAnsi="Graphik Regular"/>
        </w:rPr>
        <w:t>o</w:t>
      </w:r>
      <w:r w:rsidR="0088035E">
        <w:rPr>
          <w:rFonts w:ascii="Graphik Regular" w:hAnsi="Graphik Regular"/>
        </w:rPr>
        <w:t xml:space="preserve">bjetivos y </w:t>
      </w:r>
      <w:r w:rsidR="00914C42">
        <w:rPr>
          <w:rFonts w:ascii="Graphik Regular" w:hAnsi="Graphik Regular"/>
        </w:rPr>
        <w:t>m</w:t>
      </w:r>
      <w:r w:rsidR="0088035E">
        <w:rPr>
          <w:rFonts w:ascii="Graphik Regular" w:hAnsi="Graphik Regular"/>
        </w:rPr>
        <w:t>etas Institucionales,</w:t>
      </w:r>
      <w:r>
        <w:rPr>
          <w:rFonts w:ascii="Graphik Regular" w:eastAsia="Calibri" w:hAnsi="Graphik Regular" w:cs="Times New Roman"/>
        </w:rPr>
        <w:t xml:space="preserve"> </w:t>
      </w:r>
      <w:r w:rsidR="0088035E">
        <w:rPr>
          <w:rFonts w:ascii="Graphik Regular" w:hAnsi="Graphik Regular"/>
        </w:rPr>
        <w:t xml:space="preserve">han dejado como resultado tangible, </w:t>
      </w:r>
      <w:r w:rsidR="008B5B10">
        <w:rPr>
          <w:rFonts w:ascii="Graphik Regular" w:hAnsi="Graphik Regular"/>
        </w:rPr>
        <w:t>buscar nuevas acciones de control que coadyuven a</w:t>
      </w:r>
      <w:r w:rsidR="0088035E">
        <w:rPr>
          <w:rFonts w:ascii="Graphik Regular" w:hAnsi="Graphik Regular"/>
        </w:rPr>
        <w:t>l logro de las metas planteadas de reducir significativamente la probabilidad de ocurrencia y el grado de impacto de los rie</w:t>
      </w:r>
      <w:r w:rsidR="000D16AB">
        <w:rPr>
          <w:rFonts w:ascii="Graphik Regular" w:hAnsi="Graphik Regular"/>
        </w:rPr>
        <w:t>s</w:t>
      </w:r>
      <w:r w:rsidR="0088035E">
        <w:rPr>
          <w:rFonts w:ascii="Graphik Regular" w:hAnsi="Graphik Regular"/>
        </w:rPr>
        <w:t>gos latentes en los procesos prioritarios</w:t>
      </w:r>
      <w:r w:rsidR="001364FA">
        <w:rPr>
          <w:rFonts w:ascii="Graphik Regular" w:hAnsi="Graphik Regular"/>
        </w:rPr>
        <w:t xml:space="preserve"> y </w:t>
      </w:r>
      <w:r w:rsidR="000D16AB">
        <w:rPr>
          <w:rFonts w:ascii="Graphik Regular" w:hAnsi="Graphik Regular"/>
        </w:rPr>
        <w:t>que se hace evidente en el comportamiento de los riesgos durante el ejercicio</w:t>
      </w:r>
      <w:r w:rsidR="009853E0">
        <w:rPr>
          <w:rFonts w:ascii="Graphik Regular" w:hAnsi="Graphik Regular"/>
        </w:rPr>
        <w:t>.</w:t>
      </w:r>
    </w:p>
    <w:p w14:paraId="75281FBB" w14:textId="77777777" w:rsidR="009853E0" w:rsidRDefault="009853E0" w:rsidP="00433743">
      <w:pPr>
        <w:pStyle w:val="Prrafodelista"/>
        <w:ind w:left="0" w:right="-35"/>
        <w:jc w:val="both"/>
        <w:rPr>
          <w:rFonts w:ascii="Graphik Regular" w:hAnsi="Graphik Regular"/>
        </w:rPr>
      </w:pPr>
    </w:p>
    <w:p w14:paraId="4CA25110" w14:textId="77777777" w:rsidR="0088035E" w:rsidRDefault="0088035E" w:rsidP="00433743">
      <w:pPr>
        <w:pStyle w:val="Prrafodelista"/>
        <w:ind w:left="0" w:right="-35"/>
        <w:jc w:val="both"/>
        <w:rPr>
          <w:rFonts w:ascii="Graphik Regular" w:hAnsi="Graphik Regular"/>
          <w:b/>
        </w:rPr>
      </w:pPr>
      <w:r w:rsidRPr="0088035E">
        <w:rPr>
          <w:rFonts w:ascii="Graphik Regular" w:hAnsi="Graphik Regular"/>
          <w:b/>
        </w:rPr>
        <w:t>Resultados Cualitativos:</w:t>
      </w:r>
    </w:p>
    <w:p w14:paraId="0A0CC083" w14:textId="77777777" w:rsidR="0088035E" w:rsidRDefault="0088035E" w:rsidP="00433743">
      <w:pPr>
        <w:pStyle w:val="Prrafodelista"/>
        <w:ind w:left="0" w:right="-35"/>
        <w:jc w:val="both"/>
        <w:rPr>
          <w:rFonts w:ascii="Graphik Regular" w:hAnsi="Graphik Regular"/>
          <w:b/>
        </w:rPr>
      </w:pPr>
    </w:p>
    <w:p w14:paraId="26421212" w14:textId="77777777" w:rsidR="0088035E" w:rsidRDefault="009853E0" w:rsidP="0088035E">
      <w:pPr>
        <w:pStyle w:val="Prrafodelista"/>
        <w:ind w:left="0" w:right="-35"/>
        <w:jc w:val="both"/>
        <w:rPr>
          <w:rFonts w:ascii="Graphik Regular" w:hAnsi="Graphik Regular"/>
        </w:rPr>
      </w:pPr>
      <w:r>
        <w:rPr>
          <w:rFonts w:ascii="Graphik Regular" w:hAnsi="Graphik Regular"/>
        </w:rPr>
        <w:t>Los resultados anteriormente comentados, ha</w:t>
      </w:r>
      <w:r w:rsidR="00914C42">
        <w:rPr>
          <w:rFonts w:ascii="Graphik Regular" w:hAnsi="Graphik Regular"/>
        </w:rPr>
        <w:t>n</w:t>
      </w:r>
      <w:r>
        <w:rPr>
          <w:rFonts w:ascii="Graphik Regular" w:hAnsi="Graphik Regular"/>
        </w:rPr>
        <w:t xml:space="preserve"> estado acompañados </w:t>
      </w:r>
      <w:r w:rsidR="00BA3793">
        <w:rPr>
          <w:rFonts w:ascii="Graphik Regular" w:hAnsi="Graphik Regular"/>
        </w:rPr>
        <w:t>de mejores prácticas y han</w:t>
      </w:r>
      <w:r w:rsidR="0088035E">
        <w:rPr>
          <w:rFonts w:ascii="Graphik Regular" w:eastAsia="Calibri" w:hAnsi="Graphik Regular" w:cs="Times New Roman"/>
        </w:rPr>
        <w:t xml:space="preserve"> permitido</w:t>
      </w:r>
      <w:r w:rsidR="0088035E">
        <w:rPr>
          <w:rFonts w:ascii="Graphik Regular" w:hAnsi="Graphik Regular"/>
        </w:rPr>
        <w:t xml:space="preserve"> </w:t>
      </w:r>
      <w:proofErr w:type="spellStart"/>
      <w:r w:rsidR="0088035E">
        <w:rPr>
          <w:rFonts w:ascii="Graphik Regular" w:hAnsi="Graphik Regular"/>
        </w:rPr>
        <w:t>eficientar</w:t>
      </w:r>
      <w:proofErr w:type="spellEnd"/>
      <w:r w:rsidR="0088035E">
        <w:rPr>
          <w:rFonts w:ascii="Graphik Regular" w:hAnsi="Graphik Regular"/>
        </w:rPr>
        <w:t xml:space="preserve"> y</w:t>
      </w:r>
      <w:r w:rsidR="0088035E">
        <w:rPr>
          <w:rFonts w:ascii="Graphik Regular" w:eastAsia="Calibri" w:hAnsi="Graphik Regular" w:cs="Times New Roman"/>
        </w:rPr>
        <w:t xml:space="preserve"> reforzar las actividades</w:t>
      </w:r>
      <w:r w:rsidR="0088035E">
        <w:rPr>
          <w:rFonts w:ascii="Graphik Regular" w:hAnsi="Graphik Regular"/>
        </w:rPr>
        <w:t xml:space="preserve"> sustantivas</w:t>
      </w:r>
      <w:r w:rsidR="0088035E">
        <w:rPr>
          <w:rFonts w:ascii="Graphik Regular" w:eastAsia="Calibri" w:hAnsi="Graphik Regular" w:cs="Times New Roman"/>
        </w:rPr>
        <w:t xml:space="preserve"> y procedimientos administrativos </w:t>
      </w:r>
      <w:r w:rsidR="0088035E">
        <w:rPr>
          <w:rFonts w:ascii="Graphik Regular" w:hAnsi="Graphik Regular"/>
        </w:rPr>
        <w:t>al interior de</w:t>
      </w:r>
      <w:r w:rsidR="0088035E">
        <w:rPr>
          <w:rFonts w:ascii="Graphik Regular" w:eastAsia="Calibri" w:hAnsi="Graphik Regular" w:cs="Times New Roman"/>
        </w:rPr>
        <w:t xml:space="preserve"> los programas y proyectos</w:t>
      </w:r>
      <w:r w:rsidR="0088035E">
        <w:rPr>
          <w:rFonts w:ascii="Graphik Regular" w:hAnsi="Graphik Regular"/>
        </w:rPr>
        <w:t xml:space="preserve"> institucionales</w:t>
      </w:r>
      <w:r w:rsidR="0088035E">
        <w:rPr>
          <w:rFonts w:ascii="Graphik Regular" w:eastAsia="Calibri" w:hAnsi="Graphik Regular" w:cs="Times New Roman"/>
        </w:rPr>
        <w:t>, previniendo y detectando posi</w:t>
      </w:r>
      <w:r w:rsidR="00BA3793">
        <w:rPr>
          <w:rFonts w:ascii="Graphik Regular" w:hAnsi="Graphik Regular"/>
        </w:rPr>
        <w:t>bles atrasos e incumplimientos</w:t>
      </w:r>
      <w:r w:rsidR="001364FA">
        <w:rPr>
          <w:rFonts w:ascii="Graphik Regular" w:hAnsi="Graphik Regular"/>
        </w:rPr>
        <w:t>, no obstante</w:t>
      </w:r>
      <w:r w:rsidR="00914C42">
        <w:rPr>
          <w:rFonts w:ascii="Graphik Regular" w:hAnsi="Graphik Regular"/>
        </w:rPr>
        <w:t>,</w:t>
      </w:r>
      <w:r w:rsidR="001364FA">
        <w:rPr>
          <w:rFonts w:ascii="Graphik Regular" w:hAnsi="Graphik Regular"/>
        </w:rPr>
        <w:t xml:space="preserve"> por la importancia que presentan estos riesgos se debe continuar implementando acciones de control que reduzcan el grado </w:t>
      </w:r>
      <w:r w:rsidR="00914C42">
        <w:rPr>
          <w:rFonts w:ascii="Graphik Regular" w:hAnsi="Graphik Regular"/>
        </w:rPr>
        <w:t xml:space="preserve">de </w:t>
      </w:r>
      <w:r w:rsidR="001364FA">
        <w:rPr>
          <w:rFonts w:ascii="Graphik Regular" w:hAnsi="Graphik Regular"/>
        </w:rPr>
        <w:t>probabilidad e impacto</w:t>
      </w:r>
      <w:r w:rsidR="00BA3793">
        <w:rPr>
          <w:rFonts w:ascii="Graphik Regular" w:hAnsi="Graphik Regular"/>
        </w:rPr>
        <w:t>.</w:t>
      </w:r>
    </w:p>
    <w:p w14:paraId="4FBC0405" w14:textId="77777777" w:rsidR="0088035E" w:rsidRPr="0088035E" w:rsidRDefault="0088035E" w:rsidP="00433743">
      <w:pPr>
        <w:pStyle w:val="Prrafodelista"/>
        <w:ind w:left="0" w:right="-35"/>
        <w:jc w:val="both"/>
        <w:rPr>
          <w:rFonts w:ascii="Graphik Regular" w:hAnsi="Graphik Regular"/>
          <w:b/>
        </w:rPr>
      </w:pPr>
    </w:p>
    <w:p w14:paraId="7AF31897" w14:textId="5CB440B1" w:rsidR="00BA3793" w:rsidRDefault="00BA3793" w:rsidP="00433743">
      <w:pPr>
        <w:pStyle w:val="Prrafodelista"/>
        <w:ind w:left="0" w:right="-35"/>
        <w:jc w:val="both"/>
        <w:rPr>
          <w:rFonts w:ascii="Graphik Regular" w:hAnsi="Graphik Regular"/>
        </w:rPr>
      </w:pPr>
      <w:proofErr w:type="gramStart"/>
      <w:r>
        <w:rPr>
          <w:rFonts w:ascii="Graphik Regular" w:hAnsi="Graphik Regular"/>
        </w:rPr>
        <w:t>Finalmente</w:t>
      </w:r>
      <w:proofErr w:type="gramEnd"/>
      <w:r>
        <w:rPr>
          <w:rFonts w:ascii="Graphik Regular" w:hAnsi="Graphik Regular"/>
        </w:rPr>
        <w:t xml:space="preserve"> el compromiso y concientización de los servidores públicos</w:t>
      </w:r>
      <w:r w:rsidR="005D4AC2">
        <w:rPr>
          <w:rFonts w:ascii="Graphik Regular" w:hAnsi="Graphik Regular"/>
        </w:rPr>
        <w:t xml:space="preserve">, ha llevado a una </w:t>
      </w:r>
      <w:r w:rsidR="001364FA">
        <w:rPr>
          <w:rFonts w:ascii="Graphik Regular" w:hAnsi="Graphik Regular"/>
        </w:rPr>
        <w:t>participación</w:t>
      </w:r>
      <w:r w:rsidR="005D4AC2">
        <w:rPr>
          <w:rFonts w:ascii="Graphik Regular" w:hAnsi="Graphik Regular"/>
        </w:rPr>
        <w:t xml:space="preserve"> comprometida</w:t>
      </w:r>
      <w:r w:rsidR="00914C42">
        <w:rPr>
          <w:rFonts w:ascii="Graphik Regular" w:hAnsi="Graphik Regular"/>
        </w:rPr>
        <w:t xml:space="preserve"> </w:t>
      </w:r>
      <w:r w:rsidR="00C9478E">
        <w:rPr>
          <w:rFonts w:ascii="Graphik Regular" w:hAnsi="Graphik Regular"/>
        </w:rPr>
        <w:t>en la</w:t>
      </w:r>
      <w:r w:rsidR="00914C42">
        <w:rPr>
          <w:rFonts w:ascii="Graphik Regular" w:hAnsi="Graphik Regular"/>
        </w:rPr>
        <w:t xml:space="preserve"> </w:t>
      </w:r>
      <w:r w:rsidR="00C9478E">
        <w:rPr>
          <w:rFonts w:ascii="Graphik Regular" w:hAnsi="Graphik Regular"/>
        </w:rPr>
        <w:t>búsqueda de</w:t>
      </w:r>
      <w:r w:rsidR="00914C42">
        <w:rPr>
          <w:rFonts w:ascii="Graphik Regular" w:hAnsi="Graphik Regular"/>
        </w:rPr>
        <w:t xml:space="preserve"> mejores prácticas</w:t>
      </w:r>
      <w:r w:rsidR="005D4AC2">
        <w:rPr>
          <w:rFonts w:ascii="Graphik Regular" w:hAnsi="Graphik Regular"/>
        </w:rPr>
        <w:t>, permitiendo identificar más áreas de oportunidad para la mejora continua y la retroalimentación efectiva y útil de nuestro proceso de Administración de Riesgos y el Control Interno de la Institución.</w:t>
      </w:r>
      <w:r>
        <w:rPr>
          <w:rFonts w:ascii="Graphik Regular" w:hAnsi="Graphik Regular"/>
        </w:rPr>
        <w:t xml:space="preserve"> </w:t>
      </w:r>
    </w:p>
    <w:p w14:paraId="5B0364D2" w14:textId="77777777" w:rsidR="00933940" w:rsidRDefault="00933940" w:rsidP="00433743">
      <w:pPr>
        <w:pStyle w:val="Prrafodelista"/>
        <w:ind w:left="0" w:right="-35"/>
        <w:jc w:val="both"/>
        <w:rPr>
          <w:rFonts w:ascii="Graphik Regular" w:eastAsia="Calibri" w:hAnsi="Graphik Regular" w:cs="Times New Roman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2405"/>
        <w:gridCol w:w="567"/>
        <w:gridCol w:w="2693"/>
        <w:gridCol w:w="567"/>
        <w:gridCol w:w="2596"/>
      </w:tblGrid>
      <w:tr w:rsidR="00933940" w:rsidRPr="003A4C01" w14:paraId="0F55FF83" w14:textId="77777777" w:rsidTr="002B56D7">
        <w:trPr>
          <w:jc w:val="center"/>
        </w:trPr>
        <w:tc>
          <w:tcPr>
            <w:tcW w:w="2405" w:type="dxa"/>
            <w:shd w:val="clear" w:color="auto" w:fill="auto"/>
          </w:tcPr>
          <w:p w14:paraId="22957D7D" w14:textId="77777777" w:rsidR="00933940" w:rsidRPr="001364FA" w:rsidRDefault="00933940" w:rsidP="002B56D7">
            <w:pPr>
              <w:spacing w:line="360" w:lineRule="auto"/>
              <w:jc w:val="center"/>
              <w:rPr>
                <w:rFonts w:ascii="Graphik Regular" w:hAnsi="Graphik Regular"/>
                <w:b/>
              </w:rPr>
            </w:pPr>
            <w:r w:rsidRPr="001364FA">
              <w:rPr>
                <w:rFonts w:ascii="Graphik Regular" w:hAnsi="Graphik Regular"/>
                <w:b/>
              </w:rPr>
              <w:t>ELABORÓ</w:t>
            </w:r>
          </w:p>
          <w:p w14:paraId="68E921E0" w14:textId="228755E1" w:rsidR="00933940" w:rsidRPr="001364FA" w:rsidRDefault="00833A60" w:rsidP="00833A60">
            <w:pPr>
              <w:spacing w:after="0" w:line="240" w:lineRule="auto"/>
              <w:jc w:val="center"/>
              <w:rPr>
                <w:rFonts w:ascii="Graphik Regular" w:hAnsi="Graphik Regular"/>
                <w:b/>
              </w:rPr>
            </w:pPr>
            <w:r w:rsidRPr="00833A60">
              <w:rPr>
                <w:rFonts w:ascii="Graphik Regular" w:hAnsi="Graphik Regular"/>
                <w:sz w:val="18"/>
                <w:szCs w:val="18"/>
              </w:rPr>
              <w:t>ENLACE DE ADMINISTRACIÓN DE RIESGOS</w:t>
            </w:r>
          </w:p>
        </w:tc>
        <w:tc>
          <w:tcPr>
            <w:tcW w:w="567" w:type="dxa"/>
          </w:tcPr>
          <w:p w14:paraId="52C57434" w14:textId="77777777" w:rsidR="00933940" w:rsidRPr="001364FA" w:rsidRDefault="00933940" w:rsidP="002B56D7">
            <w:pPr>
              <w:spacing w:line="360" w:lineRule="auto"/>
              <w:jc w:val="center"/>
              <w:rPr>
                <w:rFonts w:ascii="Graphik Regular" w:hAnsi="Graphik Regular"/>
                <w:b/>
              </w:rPr>
            </w:pPr>
          </w:p>
        </w:tc>
        <w:tc>
          <w:tcPr>
            <w:tcW w:w="2693" w:type="dxa"/>
            <w:shd w:val="clear" w:color="auto" w:fill="auto"/>
          </w:tcPr>
          <w:p w14:paraId="5F920152" w14:textId="77777777" w:rsidR="00933940" w:rsidRDefault="00933940" w:rsidP="002B56D7">
            <w:pPr>
              <w:spacing w:line="360" w:lineRule="auto"/>
              <w:jc w:val="center"/>
              <w:rPr>
                <w:rFonts w:ascii="Graphik Regular" w:hAnsi="Graphik Regular"/>
                <w:b/>
              </w:rPr>
            </w:pPr>
            <w:r w:rsidRPr="001364FA">
              <w:rPr>
                <w:rFonts w:ascii="Graphik Regular" w:hAnsi="Graphik Regular"/>
                <w:b/>
              </w:rPr>
              <w:t>REVISÓ</w:t>
            </w:r>
          </w:p>
          <w:p w14:paraId="7C07C2F5" w14:textId="1FA76864" w:rsidR="00833A60" w:rsidRPr="001364FA" w:rsidRDefault="00833A60" w:rsidP="00833A60">
            <w:pPr>
              <w:spacing w:line="240" w:lineRule="auto"/>
              <w:jc w:val="center"/>
              <w:rPr>
                <w:rFonts w:ascii="Graphik Regular" w:hAnsi="Graphik Regular"/>
                <w:b/>
              </w:rPr>
            </w:pPr>
            <w:r w:rsidRPr="00833A60">
              <w:rPr>
                <w:rFonts w:ascii="Graphik Regular" w:hAnsi="Graphik Regular"/>
                <w:sz w:val="18"/>
                <w:szCs w:val="18"/>
              </w:rPr>
              <w:t>COORDINADOR DE CONTROL INTERNO</w:t>
            </w:r>
          </w:p>
        </w:tc>
        <w:tc>
          <w:tcPr>
            <w:tcW w:w="567" w:type="dxa"/>
          </w:tcPr>
          <w:p w14:paraId="50CF2990" w14:textId="77777777" w:rsidR="00933940" w:rsidRPr="001364FA" w:rsidRDefault="00933940" w:rsidP="002B56D7">
            <w:pPr>
              <w:spacing w:line="360" w:lineRule="auto"/>
              <w:jc w:val="center"/>
              <w:rPr>
                <w:rFonts w:ascii="Graphik Regular" w:hAnsi="Graphik Regular"/>
                <w:b/>
              </w:rPr>
            </w:pPr>
          </w:p>
        </w:tc>
        <w:tc>
          <w:tcPr>
            <w:tcW w:w="2596" w:type="dxa"/>
            <w:shd w:val="clear" w:color="auto" w:fill="auto"/>
          </w:tcPr>
          <w:p w14:paraId="1F57F2DE" w14:textId="77777777" w:rsidR="00933940" w:rsidRDefault="00933940" w:rsidP="002B56D7">
            <w:pPr>
              <w:spacing w:line="360" w:lineRule="auto"/>
              <w:jc w:val="center"/>
              <w:rPr>
                <w:rFonts w:ascii="Graphik Regular" w:hAnsi="Graphik Regular"/>
                <w:b/>
              </w:rPr>
            </w:pPr>
            <w:r w:rsidRPr="001364FA">
              <w:rPr>
                <w:rFonts w:ascii="Graphik Regular" w:hAnsi="Graphik Regular"/>
                <w:b/>
              </w:rPr>
              <w:t>AUTORIZÓ</w:t>
            </w:r>
          </w:p>
          <w:p w14:paraId="367A5D31" w14:textId="55ACD219" w:rsidR="00833A60" w:rsidRPr="001364FA" w:rsidRDefault="00833A60" w:rsidP="002B56D7">
            <w:pPr>
              <w:spacing w:line="360" w:lineRule="auto"/>
              <w:jc w:val="center"/>
              <w:rPr>
                <w:rFonts w:ascii="Graphik Regular" w:hAnsi="Graphik Regular"/>
                <w:b/>
              </w:rPr>
            </w:pPr>
            <w:r w:rsidRPr="00833A60">
              <w:rPr>
                <w:rFonts w:ascii="Graphik Regular" w:hAnsi="Graphik Regular"/>
                <w:sz w:val="18"/>
                <w:szCs w:val="18"/>
              </w:rPr>
              <w:t>PRESIDENTE MUNICIPAL</w:t>
            </w:r>
          </w:p>
        </w:tc>
      </w:tr>
    </w:tbl>
    <w:p w14:paraId="66ED23E4" w14:textId="77777777" w:rsidR="0008618F" w:rsidRPr="00FC6262" w:rsidRDefault="0008618F" w:rsidP="00B56F43">
      <w:pPr>
        <w:spacing w:after="240"/>
        <w:ind w:right="-34"/>
        <w:jc w:val="both"/>
        <w:rPr>
          <w:rFonts w:ascii="Graphik Regular" w:hAnsi="Graphik Regular"/>
          <w:b/>
          <w:szCs w:val="20"/>
        </w:rPr>
      </w:pPr>
    </w:p>
    <w:sectPr w:rsidR="0008618F" w:rsidRPr="00FC6262" w:rsidSect="003F1A73">
      <w:headerReference w:type="default" r:id="rId14"/>
      <w:footerReference w:type="default" r:id="rId15"/>
      <w:pgSz w:w="12240" w:h="15840"/>
      <w:pgMar w:top="1134" w:right="1247" w:bottom="1418" w:left="1247" w:header="709" w:footer="709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pgNumType w:fmt="numberInDash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comment w:id="0" w:author="Lucero Calderon Hernandez" w:date="2021-06-18T08:32:00Z" w:initials="LCH">
    <w:p w14:paraId="479F5999" w14:textId="77777777" w:rsidR="00833A60" w:rsidRDefault="00833A60" w:rsidP="0094770B">
      <w:pPr>
        <w:pStyle w:val="Textocomentario"/>
      </w:pPr>
      <w:r>
        <w:rPr>
          <w:rStyle w:val="Refdecomentario"/>
        </w:rPr>
        <w:annotationRef/>
      </w:r>
      <w:r>
        <w:t>Fundamentar con los lineamientos emitidos por el Municipio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479F5999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476D887" w16cex:dateUtc="2021-06-18T13:32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479F5999" w16cid:durableId="2476D887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B84D9E" w14:textId="77777777" w:rsidR="009C7979" w:rsidRDefault="009C7979" w:rsidP="00D6664B">
      <w:pPr>
        <w:spacing w:after="0" w:line="240" w:lineRule="auto"/>
      </w:pPr>
      <w:r>
        <w:separator/>
      </w:r>
    </w:p>
  </w:endnote>
  <w:endnote w:type="continuationSeparator" w:id="0">
    <w:p w14:paraId="03FDC9CF" w14:textId="77777777" w:rsidR="009C7979" w:rsidRDefault="009C7979" w:rsidP="00D666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oberana Sans">
    <w:panose1 w:val="00000000000000000000"/>
    <w:charset w:val="00"/>
    <w:family w:val="modern"/>
    <w:notTrueType/>
    <w:pitch w:val="variable"/>
    <w:sig w:usb0="800000AF" w:usb1="4000204B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raphik Regular">
    <w:altName w:val="Calibri"/>
    <w:panose1 w:val="020B0503030202060203"/>
    <w:charset w:val="00"/>
    <w:family w:val="swiss"/>
    <w:notTrueType/>
    <w:pitch w:val="variable"/>
    <w:sig w:usb0="00000007" w:usb1="00000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84180401"/>
      <w:docPartObj>
        <w:docPartGallery w:val="Page Numbers (Bottom of Page)"/>
        <w:docPartUnique/>
      </w:docPartObj>
    </w:sdtPr>
    <w:sdtEndPr/>
    <w:sdtContent>
      <w:p w14:paraId="6723B70B" w14:textId="77777777" w:rsidR="00EA7609" w:rsidRDefault="00667669" w:rsidP="00E60A3C">
        <w:pPr>
          <w:pStyle w:val="Piedepgina"/>
          <w:jc w:val="center"/>
        </w:pPr>
        <w:r>
          <w:fldChar w:fldCharType="begin"/>
        </w:r>
        <w:r w:rsidR="00EA7609">
          <w:instrText>PAGE   \* MERGEFORMAT</w:instrText>
        </w:r>
        <w:r>
          <w:fldChar w:fldCharType="separate"/>
        </w:r>
        <w:r w:rsidR="009B57EE" w:rsidRPr="009B57EE">
          <w:rPr>
            <w:noProof/>
            <w:lang w:val="es-ES"/>
          </w:rPr>
          <w:t>-</w:t>
        </w:r>
        <w:r w:rsidR="009B57EE">
          <w:rPr>
            <w:noProof/>
          </w:rPr>
          <w:t xml:space="preserve"> 2 -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F00221" w14:textId="77777777" w:rsidR="009C7979" w:rsidRDefault="009C7979" w:rsidP="00D6664B">
      <w:pPr>
        <w:spacing w:after="0" w:line="240" w:lineRule="auto"/>
      </w:pPr>
      <w:r>
        <w:separator/>
      </w:r>
    </w:p>
  </w:footnote>
  <w:footnote w:type="continuationSeparator" w:id="0">
    <w:p w14:paraId="3C124C59" w14:textId="77777777" w:rsidR="009C7979" w:rsidRDefault="009C7979" w:rsidP="00D6664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0" w:type="auto"/>
      <w:tblLayout w:type="fixed"/>
      <w:tblLook w:val="04A0" w:firstRow="1" w:lastRow="0" w:firstColumn="1" w:lastColumn="0" w:noHBand="0" w:noVBand="1"/>
    </w:tblPr>
    <w:tblGrid>
      <w:gridCol w:w="3652"/>
      <w:gridCol w:w="6084"/>
    </w:tblGrid>
    <w:tr w:rsidR="00293DD8" w:rsidRPr="00FC6262" w14:paraId="3786C4CF" w14:textId="77777777" w:rsidTr="00671552">
      <w:trPr>
        <w:trHeight w:val="558"/>
      </w:trPr>
      <w:tc>
        <w:tcPr>
          <w:tcW w:w="3652" w:type="dxa"/>
          <w:vMerge w:val="restart"/>
          <w:tcBorders>
            <w:top w:val="nil"/>
            <w:left w:val="nil"/>
            <w:bottom w:val="nil"/>
            <w:right w:val="nil"/>
          </w:tcBorders>
          <w:vAlign w:val="center"/>
        </w:tcPr>
        <w:p w14:paraId="6C861864" w14:textId="64C18C5A" w:rsidR="00293DD8" w:rsidRPr="00FC6262" w:rsidRDefault="00293DD8" w:rsidP="00D97ED8">
          <w:pPr>
            <w:pStyle w:val="Encabezado"/>
            <w:rPr>
              <w:rFonts w:ascii="Graphik Regular" w:hAnsi="Graphik Regular"/>
            </w:rPr>
          </w:pPr>
        </w:p>
      </w:tc>
      <w:tc>
        <w:tcPr>
          <w:tcW w:w="6084" w:type="dxa"/>
          <w:tcBorders>
            <w:top w:val="double" w:sz="4" w:space="0" w:color="auto"/>
            <w:left w:val="double" w:sz="4" w:space="0" w:color="auto"/>
            <w:bottom w:val="thickThinSmallGap" w:sz="24" w:space="0" w:color="auto"/>
            <w:right w:val="double" w:sz="4" w:space="0" w:color="auto"/>
          </w:tcBorders>
          <w:vAlign w:val="center"/>
        </w:tcPr>
        <w:p w14:paraId="6F62ACA9" w14:textId="0E8F6891" w:rsidR="00293DD8" w:rsidRPr="00FC6262" w:rsidRDefault="00347BD2" w:rsidP="00D6664B">
          <w:pPr>
            <w:pStyle w:val="Encabezado"/>
            <w:jc w:val="center"/>
            <w:rPr>
              <w:rFonts w:ascii="Graphik Regular" w:hAnsi="Graphik Regular"/>
            </w:rPr>
          </w:pPr>
          <w:r>
            <w:rPr>
              <w:rFonts w:ascii="Graphik Regular" w:eastAsia="Times New Roman" w:hAnsi="Graphik Regular" w:cs="Times New Roman"/>
              <w:b/>
              <w:bCs/>
              <w:sz w:val="24"/>
              <w:szCs w:val="24"/>
              <w:lang w:eastAsia="es-MX"/>
            </w:rPr>
            <w:t>MUNICIPIO DE _____________________________</w:t>
          </w:r>
        </w:p>
      </w:tc>
    </w:tr>
    <w:tr w:rsidR="00293DD8" w:rsidRPr="00FC6262" w14:paraId="18731E49" w14:textId="77777777" w:rsidTr="00671552">
      <w:tc>
        <w:tcPr>
          <w:tcW w:w="3652" w:type="dxa"/>
          <w:vMerge/>
          <w:tcBorders>
            <w:top w:val="nil"/>
            <w:left w:val="nil"/>
            <w:bottom w:val="nil"/>
            <w:right w:val="nil"/>
          </w:tcBorders>
          <w:vAlign w:val="center"/>
        </w:tcPr>
        <w:p w14:paraId="483904F4" w14:textId="77777777" w:rsidR="00293DD8" w:rsidRPr="00FC6262" w:rsidRDefault="00293DD8">
          <w:pPr>
            <w:pStyle w:val="Encabezado"/>
            <w:rPr>
              <w:rFonts w:ascii="Graphik Regular" w:hAnsi="Graphik Regular"/>
            </w:rPr>
          </w:pPr>
        </w:p>
      </w:tc>
      <w:tc>
        <w:tcPr>
          <w:tcW w:w="6084" w:type="dxa"/>
          <w:tcBorders>
            <w:top w:val="thickThinSmallGap" w:sz="24" w:space="0" w:color="auto"/>
            <w:left w:val="nil"/>
            <w:bottom w:val="double" w:sz="4" w:space="0" w:color="auto"/>
            <w:right w:val="nil"/>
          </w:tcBorders>
          <w:vAlign w:val="center"/>
        </w:tcPr>
        <w:p w14:paraId="4E7FD09E" w14:textId="77777777" w:rsidR="00293DD8" w:rsidRPr="00FC6262" w:rsidRDefault="00293DD8">
          <w:pPr>
            <w:pStyle w:val="Encabezado"/>
            <w:rPr>
              <w:rFonts w:ascii="Graphik Regular" w:hAnsi="Graphik Regular"/>
              <w:sz w:val="6"/>
            </w:rPr>
          </w:pPr>
        </w:p>
      </w:tc>
    </w:tr>
    <w:tr w:rsidR="00293DD8" w:rsidRPr="00FC6262" w14:paraId="11D2E730" w14:textId="77777777" w:rsidTr="00671552">
      <w:trPr>
        <w:trHeight w:val="635"/>
      </w:trPr>
      <w:tc>
        <w:tcPr>
          <w:tcW w:w="3652" w:type="dxa"/>
          <w:vMerge/>
          <w:tcBorders>
            <w:top w:val="nil"/>
            <w:left w:val="nil"/>
            <w:bottom w:val="nil"/>
            <w:right w:val="nil"/>
          </w:tcBorders>
          <w:vAlign w:val="center"/>
        </w:tcPr>
        <w:p w14:paraId="135D84AE" w14:textId="77777777" w:rsidR="00293DD8" w:rsidRPr="00FC6262" w:rsidRDefault="00293DD8">
          <w:pPr>
            <w:pStyle w:val="Encabezado"/>
            <w:rPr>
              <w:rFonts w:ascii="Graphik Regular" w:hAnsi="Graphik Regular"/>
            </w:rPr>
          </w:pPr>
        </w:p>
      </w:tc>
      <w:tc>
        <w:tcPr>
          <w:tcW w:w="6084" w:type="dxa"/>
          <w:tcBorders>
            <w:top w:val="double" w:sz="4" w:space="0" w:color="auto"/>
            <w:left w:val="double" w:sz="4" w:space="0" w:color="auto"/>
            <w:bottom w:val="thickThinSmallGap" w:sz="24" w:space="0" w:color="auto"/>
            <w:right w:val="double" w:sz="4" w:space="0" w:color="auto"/>
          </w:tcBorders>
          <w:vAlign w:val="center"/>
        </w:tcPr>
        <w:p w14:paraId="05B7B67F" w14:textId="77777777" w:rsidR="00DD6AC3" w:rsidRPr="00FC6262" w:rsidRDefault="003136DB" w:rsidP="00DD6AC3">
          <w:pPr>
            <w:ind w:right="-426"/>
            <w:jc w:val="center"/>
            <w:rPr>
              <w:rFonts w:ascii="Graphik Regular" w:eastAsia="Times New Roman" w:hAnsi="Graphik Regular" w:cs="Times New Roman"/>
              <w:b/>
              <w:bCs/>
              <w:sz w:val="24"/>
              <w:szCs w:val="24"/>
              <w:lang w:eastAsia="es-MX"/>
            </w:rPr>
          </w:pPr>
          <w:r w:rsidRPr="00FC6262">
            <w:rPr>
              <w:rFonts w:ascii="Graphik Regular" w:eastAsia="Times New Roman" w:hAnsi="Graphik Regular" w:cs="Times New Roman"/>
              <w:b/>
              <w:bCs/>
              <w:sz w:val="24"/>
              <w:szCs w:val="24"/>
              <w:lang w:eastAsia="es-MX"/>
            </w:rPr>
            <w:t xml:space="preserve">REPORTE </w:t>
          </w:r>
          <w:r w:rsidR="00293DD8" w:rsidRPr="00FC6262">
            <w:rPr>
              <w:rFonts w:ascii="Graphik Regular" w:eastAsia="Times New Roman" w:hAnsi="Graphik Regular" w:cs="Times New Roman"/>
              <w:b/>
              <w:bCs/>
              <w:sz w:val="24"/>
              <w:szCs w:val="24"/>
              <w:lang w:eastAsia="es-MX"/>
            </w:rPr>
            <w:t>A</w:t>
          </w:r>
          <w:r w:rsidRPr="00FC6262">
            <w:rPr>
              <w:rFonts w:ascii="Graphik Regular" w:eastAsia="Times New Roman" w:hAnsi="Graphik Regular" w:cs="Times New Roman"/>
              <w:b/>
              <w:bCs/>
              <w:sz w:val="24"/>
              <w:szCs w:val="24"/>
              <w:lang w:eastAsia="es-MX"/>
            </w:rPr>
            <w:t xml:space="preserve">NUAL DE COMPORTAMIENTO </w:t>
          </w:r>
        </w:p>
        <w:p w14:paraId="73E0CAD9" w14:textId="77777777" w:rsidR="00293DD8" w:rsidRPr="00FC6262" w:rsidRDefault="00293DD8" w:rsidP="00DD6AC3">
          <w:pPr>
            <w:ind w:right="-426"/>
            <w:jc w:val="center"/>
            <w:rPr>
              <w:rFonts w:ascii="Graphik Regular" w:hAnsi="Graphik Regular"/>
            </w:rPr>
          </w:pPr>
          <w:r w:rsidRPr="00FC6262">
            <w:rPr>
              <w:rFonts w:ascii="Graphik Regular" w:eastAsia="Times New Roman" w:hAnsi="Graphik Regular" w:cs="Times New Roman"/>
              <w:b/>
              <w:bCs/>
              <w:sz w:val="24"/>
              <w:szCs w:val="24"/>
              <w:lang w:eastAsia="es-MX"/>
            </w:rPr>
            <w:t>DE</w:t>
          </w:r>
          <w:r w:rsidR="003136DB" w:rsidRPr="00FC6262">
            <w:rPr>
              <w:rFonts w:ascii="Graphik Regular" w:eastAsia="Times New Roman" w:hAnsi="Graphik Regular" w:cs="Times New Roman"/>
              <w:b/>
              <w:bCs/>
              <w:sz w:val="24"/>
              <w:szCs w:val="24"/>
              <w:lang w:eastAsia="es-MX"/>
            </w:rPr>
            <w:t xml:space="preserve"> LOS </w:t>
          </w:r>
          <w:r w:rsidRPr="00FC6262">
            <w:rPr>
              <w:rFonts w:ascii="Graphik Regular" w:eastAsia="Times New Roman" w:hAnsi="Graphik Regular" w:cs="Times New Roman"/>
              <w:b/>
              <w:bCs/>
              <w:sz w:val="24"/>
              <w:szCs w:val="24"/>
              <w:lang w:eastAsia="es-MX"/>
            </w:rPr>
            <w:t>RIESGOS</w:t>
          </w:r>
        </w:p>
      </w:tc>
    </w:tr>
  </w:tbl>
  <w:p w14:paraId="62FBD5C1" w14:textId="793245C5" w:rsidR="00EA7609" w:rsidRPr="00293DD8" w:rsidRDefault="00347BD2">
    <w:pPr>
      <w:pStyle w:val="Encabezado"/>
      <w:rPr>
        <w:rFonts w:ascii="Cambria" w:hAnsi="Cambria"/>
        <w:sz w:val="16"/>
        <w:szCs w:val="16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51DA797" wp14:editId="2790CDC2">
              <wp:simplePos x="0" y="0"/>
              <wp:positionH relativeFrom="column">
                <wp:posOffset>0</wp:posOffset>
              </wp:positionH>
              <wp:positionV relativeFrom="paragraph">
                <wp:posOffset>-964565</wp:posOffset>
              </wp:positionV>
              <wp:extent cx="1691640" cy="1066800"/>
              <wp:effectExtent l="0" t="0" r="3810" b="0"/>
              <wp:wrapNone/>
              <wp:docPr id="2" name="Rectángulo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1691640" cy="1066800"/>
                      </a:xfrm>
                      <a:prstGeom prst="rect">
                        <a:avLst/>
                      </a:prstGeom>
                      <a:solidFill>
                        <a:schemeClr val="bg1"/>
                      </a:solidFill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4B37F4A3" w14:textId="77777777" w:rsidR="00347BD2" w:rsidRPr="00BC04EA" w:rsidRDefault="00347BD2" w:rsidP="00347BD2">
                          <w:pPr>
                            <w:jc w:val="center"/>
                            <w:rPr>
                              <w:color w:val="0D0D0D" w:themeColor="text1" w:themeTint="F2"/>
                            </w:rPr>
                          </w:pPr>
                          <w:r w:rsidRPr="00BC04EA">
                            <w:rPr>
                              <w:color w:val="0D0D0D" w:themeColor="text1" w:themeTint="F2"/>
                            </w:rPr>
                            <w:t>Logo</w:t>
                          </w:r>
                          <w:r>
                            <w:rPr>
                              <w:color w:val="0D0D0D" w:themeColor="text1" w:themeTint="F2"/>
                            </w:rPr>
                            <w:t xml:space="preserve"> del Municipio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251DA797" id="Rectángulo 9" o:spid="_x0000_s1026" style="position:absolute;margin-left:0;margin-top:-75.95pt;width:133.2pt;height:8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" fillcolor="white [3212]" strokecolor="black [3213]" strokeweight="1pt">
              <v:path arrowok="t"/>
              <v:textbox>
                <w:txbxContent>
                  <w:p w14:paraId="4B37F4A3" w14:textId="77777777" w:rsidR="00347BD2" w:rsidRPr="00BC04EA" w:rsidRDefault="00347BD2" w:rsidP="00347BD2">
                    <w:pPr>
                      <w:jc w:val="center"/>
                      <w:rPr>
                        <w:color w:val="0D0D0D" w:themeColor="text1" w:themeTint="F2"/>
                      </w:rPr>
                    </w:pPr>
                    <w:r w:rsidRPr="00BC04EA">
                      <w:rPr>
                        <w:color w:val="0D0D0D" w:themeColor="text1" w:themeTint="F2"/>
                      </w:rPr>
                      <w:t>Logo</w:t>
                    </w:r>
                    <w:r>
                      <w:rPr>
                        <w:color w:val="0D0D0D" w:themeColor="text1" w:themeTint="F2"/>
                      </w:rPr>
                      <w:t xml:space="preserve"> del Municipio</w:t>
                    </w:r>
                  </w:p>
                </w:txbxContent>
              </v:textbox>
            </v:rect>
          </w:pict>
        </mc:Fallback>
      </mc:AlternateContent>
    </w:r>
  </w:p>
  <w:tbl>
    <w:tblPr>
      <w:tblStyle w:val="Tablaconcuadrcula"/>
      <w:tblW w:w="9736" w:type="dxa"/>
      <w:tblInd w:w="-45" w:type="dxa"/>
      <w:tblBorders>
        <w:top w:val="double" w:sz="4" w:space="0" w:color="auto"/>
        <w:left w:val="double" w:sz="4" w:space="0" w:color="auto"/>
        <w:bottom w:val="double" w:sz="4" w:space="0" w:color="auto"/>
        <w:right w:val="double" w:sz="4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969"/>
      <w:gridCol w:w="1488"/>
      <w:gridCol w:w="2279"/>
    </w:tblGrid>
    <w:tr w:rsidR="00EA7609" w:rsidRPr="00FC6262" w14:paraId="56A58B0F" w14:textId="77777777" w:rsidTr="003D39BE">
      <w:trPr>
        <w:gridBefore w:val="1"/>
        <w:wBefore w:w="5969" w:type="dxa"/>
      </w:trPr>
      <w:tc>
        <w:tcPr>
          <w:tcW w:w="1488" w:type="dxa"/>
          <w:tcBorders>
            <w:top w:val="doub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72444B97" w14:textId="77777777" w:rsidR="00EA7609" w:rsidRPr="00FC6262" w:rsidRDefault="00EA7609" w:rsidP="003D39BE">
          <w:pPr>
            <w:pStyle w:val="Encabezado"/>
            <w:jc w:val="center"/>
            <w:rPr>
              <w:rFonts w:ascii="Graphik Regular" w:hAnsi="Graphik Regular"/>
              <w:b/>
            </w:rPr>
          </w:pPr>
          <w:r w:rsidRPr="00FC6262">
            <w:rPr>
              <w:rFonts w:ascii="Graphik Regular" w:hAnsi="Graphik Regular"/>
              <w:b/>
            </w:rPr>
            <w:t>EJERCICIO</w:t>
          </w:r>
        </w:p>
      </w:tc>
      <w:tc>
        <w:tcPr>
          <w:tcW w:w="2279" w:type="dxa"/>
          <w:tcBorders>
            <w:top w:val="double" w:sz="4" w:space="0" w:color="auto"/>
            <w:left w:val="single" w:sz="4" w:space="0" w:color="auto"/>
            <w:bottom w:val="single" w:sz="4" w:space="0" w:color="auto"/>
          </w:tcBorders>
          <w:vAlign w:val="center"/>
        </w:tcPr>
        <w:p w14:paraId="4114D113" w14:textId="020BEFBC" w:rsidR="00EA7609" w:rsidRPr="00FC6262" w:rsidRDefault="00B607ED" w:rsidP="003D39BE">
          <w:pPr>
            <w:pStyle w:val="Encabezado"/>
            <w:jc w:val="center"/>
            <w:rPr>
              <w:rFonts w:ascii="Graphik Regular" w:hAnsi="Graphik Regular"/>
              <w:b/>
            </w:rPr>
          </w:pPr>
          <w:r w:rsidRPr="00FC6262">
            <w:rPr>
              <w:rFonts w:ascii="Graphik Regular" w:hAnsi="Graphik Regular"/>
              <w:b/>
            </w:rPr>
            <w:t>20</w:t>
          </w:r>
          <w:r w:rsidR="00833A60">
            <w:rPr>
              <w:rFonts w:ascii="Graphik Regular" w:hAnsi="Graphik Regular"/>
              <w:b/>
            </w:rPr>
            <w:t>20</w:t>
          </w:r>
        </w:p>
      </w:tc>
    </w:tr>
    <w:tr w:rsidR="00EA7609" w:rsidRPr="00FC6262" w14:paraId="25A6153B" w14:textId="77777777" w:rsidTr="00EC5087">
      <w:tblPrEx>
        <w:tblBorders>
          <w:top w:val="none" w:sz="0" w:space="0" w:color="auto"/>
          <w:left w:val="none" w:sz="0" w:space="0" w:color="auto"/>
          <w:bottom w:val="thickThinSmallGap" w:sz="24" w:space="0" w:color="auto"/>
          <w:right w:val="none" w:sz="0" w:space="0" w:color="auto"/>
          <w:insideH w:val="single" w:sz="4" w:space="0" w:color="auto"/>
          <w:insideV w:val="single" w:sz="4" w:space="0" w:color="auto"/>
        </w:tblBorders>
      </w:tblPrEx>
      <w:tc>
        <w:tcPr>
          <w:tcW w:w="9736" w:type="dxa"/>
          <w:gridSpan w:val="3"/>
          <w:tcBorders>
            <w:top w:val="nil"/>
            <w:bottom w:val="thickThinSmallGap" w:sz="24" w:space="0" w:color="auto"/>
          </w:tcBorders>
        </w:tcPr>
        <w:p w14:paraId="27D4B164" w14:textId="77777777" w:rsidR="00EA7609" w:rsidRPr="00FC6262" w:rsidRDefault="00EA7609" w:rsidP="00D6664B">
          <w:pPr>
            <w:pStyle w:val="Encabezado"/>
            <w:jc w:val="right"/>
            <w:rPr>
              <w:rFonts w:ascii="Graphik Regular" w:hAnsi="Graphik Regular"/>
              <w:sz w:val="16"/>
              <w:szCs w:val="16"/>
            </w:rPr>
          </w:pPr>
        </w:p>
      </w:tc>
    </w:tr>
  </w:tbl>
  <w:p w14:paraId="6F895258" w14:textId="77777777" w:rsidR="00EA7609" w:rsidRPr="00253561" w:rsidRDefault="00EA7609" w:rsidP="00D6664B">
    <w:pPr>
      <w:pStyle w:val="Encabezado"/>
      <w:jc w:val="right"/>
      <w:rPr>
        <w:rFonts w:ascii="Cambria" w:hAnsi="Cambria"/>
      </w:rPr>
    </w:pPr>
  </w:p>
  <w:p w14:paraId="0228F8FA" w14:textId="77777777" w:rsidR="00EA7609" w:rsidRPr="00253561" w:rsidRDefault="00EA7609" w:rsidP="00D6664B">
    <w:pPr>
      <w:pStyle w:val="Encabezado"/>
      <w:jc w:val="right"/>
      <w:rPr>
        <w:rFonts w:ascii="Cambria" w:hAnsi="Cambri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331CED"/>
    <w:multiLevelType w:val="hybridMultilevel"/>
    <w:tmpl w:val="1EC49454"/>
    <w:lvl w:ilvl="0" w:tplc="08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1E0130"/>
    <w:multiLevelType w:val="hybridMultilevel"/>
    <w:tmpl w:val="4DB8FEAC"/>
    <w:lvl w:ilvl="0" w:tplc="B5FC011E">
      <w:numFmt w:val="bullet"/>
      <w:lvlText w:val=""/>
      <w:lvlJc w:val="left"/>
      <w:pPr>
        <w:ind w:left="1429" w:hanging="360"/>
      </w:pPr>
      <w:rPr>
        <w:rFonts w:ascii="Symbol" w:eastAsiaTheme="minorHAnsi" w:hAnsi="Symbol" w:cstheme="minorBidi" w:hint="default"/>
        <w:sz w:val="14"/>
      </w:rPr>
    </w:lvl>
    <w:lvl w:ilvl="1" w:tplc="080A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18AE0BD1"/>
    <w:multiLevelType w:val="hybridMultilevel"/>
    <w:tmpl w:val="E294CA12"/>
    <w:lvl w:ilvl="0" w:tplc="080A0017">
      <w:start w:val="1"/>
      <w:numFmt w:val="lowerLetter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50A4918"/>
    <w:multiLevelType w:val="hybridMultilevel"/>
    <w:tmpl w:val="7FAED8CA"/>
    <w:lvl w:ilvl="0" w:tplc="FD2ACA74">
      <w:numFmt w:val="bullet"/>
      <w:lvlText w:val=""/>
      <w:lvlJc w:val="left"/>
      <w:pPr>
        <w:ind w:left="1069" w:hanging="360"/>
      </w:pPr>
      <w:rPr>
        <w:rFonts w:ascii="Symbol" w:eastAsiaTheme="minorHAnsi" w:hAnsi="Symbol" w:cstheme="minorBidi" w:hint="default"/>
        <w:sz w:val="14"/>
      </w:rPr>
    </w:lvl>
    <w:lvl w:ilvl="1" w:tplc="080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4" w15:restartNumberingAfterBreak="0">
    <w:nsid w:val="470976DD"/>
    <w:multiLevelType w:val="hybridMultilevel"/>
    <w:tmpl w:val="12022AA2"/>
    <w:lvl w:ilvl="0" w:tplc="080A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80A0019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5082D70"/>
    <w:multiLevelType w:val="hybridMultilevel"/>
    <w:tmpl w:val="43D25534"/>
    <w:lvl w:ilvl="0" w:tplc="2946EF8A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0"/>
  </w:num>
  <w:num w:numId="5">
    <w:abstractNumId w:val="5"/>
  </w:num>
  <w:num w:numId="6">
    <w:abstractNumId w:val="2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Lucero Calderon Hernandez">
    <w15:presenceInfo w15:providerId="None" w15:userId="Lucero Calderon Hernandez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664B"/>
    <w:rsid w:val="00001E46"/>
    <w:rsid w:val="00002836"/>
    <w:rsid w:val="00010227"/>
    <w:rsid w:val="00010FCC"/>
    <w:rsid w:val="00011569"/>
    <w:rsid w:val="00022AE7"/>
    <w:rsid w:val="0003256C"/>
    <w:rsid w:val="00037C5A"/>
    <w:rsid w:val="00040C35"/>
    <w:rsid w:val="000424FD"/>
    <w:rsid w:val="00045648"/>
    <w:rsid w:val="00054019"/>
    <w:rsid w:val="00072FDB"/>
    <w:rsid w:val="0008578A"/>
    <w:rsid w:val="0008618F"/>
    <w:rsid w:val="000A4F0A"/>
    <w:rsid w:val="000C383C"/>
    <w:rsid w:val="000D16AB"/>
    <w:rsid w:val="000D46F0"/>
    <w:rsid w:val="000E4039"/>
    <w:rsid w:val="00100A10"/>
    <w:rsid w:val="00116E90"/>
    <w:rsid w:val="001364FA"/>
    <w:rsid w:val="00137353"/>
    <w:rsid w:val="00146890"/>
    <w:rsid w:val="00147D9D"/>
    <w:rsid w:val="001576D4"/>
    <w:rsid w:val="00161CAC"/>
    <w:rsid w:val="0017283C"/>
    <w:rsid w:val="00175EED"/>
    <w:rsid w:val="00183FB8"/>
    <w:rsid w:val="00184074"/>
    <w:rsid w:val="0018675E"/>
    <w:rsid w:val="001917C9"/>
    <w:rsid w:val="001A75E8"/>
    <w:rsid w:val="001B3225"/>
    <w:rsid w:val="001D7EDC"/>
    <w:rsid w:val="001E0B0F"/>
    <w:rsid w:val="001F5FA1"/>
    <w:rsid w:val="002056ED"/>
    <w:rsid w:val="002145E8"/>
    <w:rsid w:val="00221670"/>
    <w:rsid w:val="00237309"/>
    <w:rsid w:val="00241049"/>
    <w:rsid w:val="00243191"/>
    <w:rsid w:val="002454FD"/>
    <w:rsid w:val="00245B0A"/>
    <w:rsid w:val="00251CB5"/>
    <w:rsid w:val="00253561"/>
    <w:rsid w:val="002556E3"/>
    <w:rsid w:val="00260409"/>
    <w:rsid w:val="00266175"/>
    <w:rsid w:val="0027724E"/>
    <w:rsid w:val="00290ACD"/>
    <w:rsid w:val="00291DB0"/>
    <w:rsid w:val="00293D2E"/>
    <w:rsid w:val="00293DD8"/>
    <w:rsid w:val="002B46DE"/>
    <w:rsid w:val="002C1000"/>
    <w:rsid w:val="002C351E"/>
    <w:rsid w:val="002C4D4A"/>
    <w:rsid w:val="002C72C7"/>
    <w:rsid w:val="002D1FBE"/>
    <w:rsid w:val="002D34D7"/>
    <w:rsid w:val="002D3B89"/>
    <w:rsid w:val="003136DB"/>
    <w:rsid w:val="003162D6"/>
    <w:rsid w:val="003219B3"/>
    <w:rsid w:val="00321AA3"/>
    <w:rsid w:val="00322B17"/>
    <w:rsid w:val="003265C5"/>
    <w:rsid w:val="0034369B"/>
    <w:rsid w:val="00347BD2"/>
    <w:rsid w:val="003558CB"/>
    <w:rsid w:val="003558FC"/>
    <w:rsid w:val="00355DA8"/>
    <w:rsid w:val="00370C10"/>
    <w:rsid w:val="00377554"/>
    <w:rsid w:val="003816F9"/>
    <w:rsid w:val="00383F69"/>
    <w:rsid w:val="003B478B"/>
    <w:rsid w:val="003C093F"/>
    <w:rsid w:val="003C4765"/>
    <w:rsid w:val="003C6363"/>
    <w:rsid w:val="003D39BE"/>
    <w:rsid w:val="003D4F21"/>
    <w:rsid w:val="003F1A73"/>
    <w:rsid w:val="00401572"/>
    <w:rsid w:val="00422A15"/>
    <w:rsid w:val="004241DE"/>
    <w:rsid w:val="004324F4"/>
    <w:rsid w:val="00433743"/>
    <w:rsid w:val="0043715A"/>
    <w:rsid w:val="00451BD8"/>
    <w:rsid w:val="00470F86"/>
    <w:rsid w:val="00491953"/>
    <w:rsid w:val="00492C16"/>
    <w:rsid w:val="004A2494"/>
    <w:rsid w:val="004A256B"/>
    <w:rsid w:val="004C55B2"/>
    <w:rsid w:val="004D1CF1"/>
    <w:rsid w:val="004D28EE"/>
    <w:rsid w:val="004D38B2"/>
    <w:rsid w:val="004E0544"/>
    <w:rsid w:val="004F65BB"/>
    <w:rsid w:val="005050C1"/>
    <w:rsid w:val="00510DF7"/>
    <w:rsid w:val="00514D55"/>
    <w:rsid w:val="00517FD3"/>
    <w:rsid w:val="005204E1"/>
    <w:rsid w:val="00531B29"/>
    <w:rsid w:val="005365CC"/>
    <w:rsid w:val="00542B3B"/>
    <w:rsid w:val="00542FDF"/>
    <w:rsid w:val="00557EB5"/>
    <w:rsid w:val="0056212D"/>
    <w:rsid w:val="005918DA"/>
    <w:rsid w:val="005B19A7"/>
    <w:rsid w:val="005D4AC2"/>
    <w:rsid w:val="005E0FAE"/>
    <w:rsid w:val="005E5380"/>
    <w:rsid w:val="005E639E"/>
    <w:rsid w:val="005F3713"/>
    <w:rsid w:val="005F4670"/>
    <w:rsid w:val="005F6B52"/>
    <w:rsid w:val="00600403"/>
    <w:rsid w:val="00600BB0"/>
    <w:rsid w:val="00606B32"/>
    <w:rsid w:val="006337D0"/>
    <w:rsid w:val="00667669"/>
    <w:rsid w:val="00671552"/>
    <w:rsid w:val="00682EFF"/>
    <w:rsid w:val="00687405"/>
    <w:rsid w:val="00694428"/>
    <w:rsid w:val="00697F06"/>
    <w:rsid w:val="006D2216"/>
    <w:rsid w:val="006D4803"/>
    <w:rsid w:val="006F207B"/>
    <w:rsid w:val="006F543E"/>
    <w:rsid w:val="0072103C"/>
    <w:rsid w:val="00737078"/>
    <w:rsid w:val="00742099"/>
    <w:rsid w:val="00742F93"/>
    <w:rsid w:val="0075560E"/>
    <w:rsid w:val="007606E4"/>
    <w:rsid w:val="00762A63"/>
    <w:rsid w:val="00766823"/>
    <w:rsid w:val="00786B79"/>
    <w:rsid w:val="00787451"/>
    <w:rsid w:val="00795AEF"/>
    <w:rsid w:val="007B5767"/>
    <w:rsid w:val="007B783F"/>
    <w:rsid w:val="007C521D"/>
    <w:rsid w:val="007D0403"/>
    <w:rsid w:val="007D5825"/>
    <w:rsid w:val="007F1846"/>
    <w:rsid w:val="00806174"/>
    <w:rsid w:val="00806A5A"/>
    <w:rsid w:val="00812450"/>
    <w:rsid w:val="008128BE"/>
    <w:rsid w:val="008202E1"/>
    <w:rsid w:val="00833A60"/>
    <w:rsid w:val="008552B9"/>
    <w:rsid w:val="008603A1"/>
    <w:rsid w:val="008652D8"/>
    <w:rsid w:val="008667C6"/>
    <w:rsid w:val="00872020"/>
    <w:rsid w:val="0088035E"/>
    <w:rsid w:val="00885FDE"/>
    <w:rsid w:val="00896297"/>
    <w:rsid w:val="008A3362"/>
    <w:rsid w:val="008B1DE4"/>
    <w:rsid w:val="008B535E"/>
    <w:rsid w:val="008B5B10"/>
    <w:rsid w:val="008F173B"/>
    <w:rsid w:val="008F2665"/>
    <w:rsid w:val="008F7451"/>
    <w:rsid w:val="009053FF"/>
    <w:rsid w:val="00912D5A"/>
    <w:rsid w:val="00914C42"/>
    <w:rsid w:val="009222EF"/>
    <w:rsid w:val="00931922"/>
    <w:rsid w:val="00931EE7"/>
    <w:rsid w:val="00933940"/>
    <w:rsid w:val="00937FA0"/>
    <w:rsid w:val="00947CDE"/>
    <w:rsid w:val="00960503"/>
    <w:rsid w:val="00974C35"/>
    <w:rsid w:val="00984EAA"/>
    <w:rsid w:val="009853E0"/>
    <w:rsid w:val="00986F2C"/>
    <w:rsid w:val="00991EDF"/>
    <w:rsid w:val="00994099"/>
    <w:rsid w:val="009A0416"/>
    <w:rsid w:val="009A65E2"/>
    <w:rsid w:val="009A7424"/>
    <w:rsid w:val="009B4DFF"/>
    <w:rsid w:val="009B57EE"/>
    <w:rsid w:val="009B5D9E"/>
    <w:rsid w:val="009C0DF1"/>
    <w:rsid w:val="009C7979"/>
    <w:rsid w:val="009D0B75"/>
    <w:rsid w:val="009D5CE6"/>
    <w:rsid w:val="00A00FC5"/>
    <w:rsid w:val="00A04CAE"/>
    <w:rsid w:val="00A22893"/>
    <w:rsid w:val="00A22AE7"/>
    <w:rsid w:val="00A620F9"/>
    <w:rsid w:val="00A74F43"/>
    <w:rsid w:val="00A81398"/>
    <w:rsid w:val="00A87134"/>
    <w:rsid w:val="00A973D0"/>
    <w:rsid w:val="00AB4F7E"/>
    <w:rsid w:val="00AB5F75"/>
    <w:rsid w:val="00AC68EA"/>
    <w:rsid w:val="00AD3E65"/>
    <w:rsid w:val="00AE2442"/>
    <w:rsid w:val="00AE41A7"/>
    <w:rsid w:val="00AF0437"/>
    <w:rsid w:val="00B16A31"/>
    <w:rsid w:val="00B23C25"/>
    <w:rsid w:val="00B56F43"/>
    <w:rsid w:val="00B607ED"/>
    <w:rsid w:val="00B62428"/>
    <w:rsid w:val="00B63AC2"/>
    <w:rsid w:val="00B8327D"/>
    <w:rsid w:val="00B83E9C"/>
    <w:rsid w:val="00B901CA"/>
    <w:rsid w:val="00BA3793"/>
    <w:rsid w:val="00BB0386"/>
    <w:rsid w:val="00BB52F6"/>
    <w:rsid w:val="00BB6E09"/>
    <w:rsid w:val="00BD49B0"/>
    <w:rsid w:val="00BD4CEA"/>
    <w:rsid w:val="00BE5DC2"/>
    <w:rsid w:val="00BE7604"/>
    <w:rsid w:val="00C30FFA"/>
    <w:rsid w:val="00C32993"/>
    <w:rsid w:val="00C337F2"/>
    <w:rsid w:val="00C46017"/>
    <w:rsid w:val="00C468A4"/>
    <w:rsid w:val="00C56FED"/>
    <w:rsid w:val="00C6166C"/>
    <w:rsid w:val="00C672F3"/>
    <w:rsid w:val="00C7380C"/>
    <w:rsid w:val="00C92965"/>
    <w:rsid w:val="00C92E90"/>
    <w:rsid w:val="00C9478E"/>
    <w:rsid w:val="00CA40F9"/>
    <w:rsid w:val="00CC7600"/>
    <w:rsid w:val="00CD17D2"/>
    <w:rsid w:val="00CD6063"/>
    <w:rsid w:val="00CE0F74"/>
    <w:rsid w:val="00CF06FB"/>
    <w:rsid w:val="00D1086C"/>
    <w:rsid w:val="00D22ABD"/>
    <w:rsid w:val="00D35096"/>
    <w:rsid w:val="00D37925"/>
    <w:rsid w:val="00D43B38"/>
    <w:rsid w:val="00D50ACE"/>
    <w:rsid w:val="00D52FAE"/>
    <w:rsid w:val="00D608E6"/>
    <w:rsid w:val="00D6664B"/>
    <w:rsid w:val="00D71F8D"/>
    <w:rsid w:val="00D7342B"/>
    <w:rsid w:val="00D75473"/>
    <w:rsid w:val="00D87F04"/>
    <w:rsid w:val="00D9197C"/>
    <w:rsid w:val="00D97ED8"/>
    <w:rsid w:val="00DB11FF"/>
    <w:rsid w:val="00DB7970"/>
    <w:rsid w:val="00DC3A6C"/>
    <w:rsid w:val="00DD54A4"/>
    <w:rsid w:val="00DD6AC3"/>
    <w:rsid w:val="00DE68CF"/>
    <w:rsid w:val="00DE7D88"/>
    <w:rsid w:val="00DF6DB1"/>
    <w:rsid w:val="00E12C8C"/>
    <w:rsid w:val="00E36BBD"/>
    <w:rsid w:val="00E416F6"/>
    <w:rsid w:val="00E43338"/>
    <w:rsid w:val="00E4334E"/>
    <w:rsid w:val="00E512BC"/>
    <w:rsid w:val="00E5420A"/>
    <w:rsid w:val="00E60A3C"/>
    <w:rsid w:val="00E65775"/>
    <w:rsid w:val="00E70427"/>
    <w:rsid w:val="00EA7609"/>
    <w:rsid w:val="00EC5087"/>
    <w:rsid w:val="00ED2438"/>
    <w:rsid w:val="00ED7093"/>
    <w:rsid w:val="00EF1ADE"/>
    <w:rsid w:val="00EF6F18"/>
    <w:rsid w:val="00F24B40"/>
    <w:rsid w:val="00F37887"/>
    <w:rsid w:val="00F4174B"/>
    <w:rsid w:val="00F419FD"/>
    <w:rsid w:val="00F52362"/>
    <w:rsid w:val="00F562D6"/>
    <w:rsid w:val="00F5692B"/>
    <w:rsid w:val="00F57B50"/>
    <w:rsid w:val="00F61855"/>
    <w:rsid w:val="00F758BA"/>
    <w:rsid w:val="00F85C04"/>
    <w:rsid w:val="00F9460B"/>
    <w:rsid w:val="00F94B8D"/>
    <w:rsid w:val="00F9522F"/>
    <w:rsid w:val="00F967BC"/>
    <w:rsid w:val="00F978E7"/>
    <w:rsid w:val="00FA0CD9"/>
    <w:rsid w:val="00FC4E6A"/>
    <w:rsid w:val="00FC6262"/>
    <w:rsid w:val="00FD2B5A"/>
    <w:rsid w:val="00FD4C5F"/>
    <w:rsid w:val="00FE3483"/>
    <w:rsid w:val="00FE68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8C17353"/>
  <w15:docId w15:val="{14BF8D99-43A0-4E5A-BADE-8F51C1CCCA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47D9D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D6664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6664B"/>
  </w:style>
  <w:style w:type="paragraph" w:styleId="Piedepgina">
    <w:name w:val="footer"/>
    <w:basedOn w:val="Normal"/>
    <w:link w:val="PiedepginaCar"/>
    <w:uiPriority w:val="99"/>
    <w:unhideWhenUsed/>
    <w:rsid w:val="00D6664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6664B"/>
  </w:style>
  <w:style w:type="table" w:styleId="Tablaconcuadrcula">
    <w:name w:val="Table Grid"/>
    <w:basedOn w:val="Tablanormal"/>
    <w:uiPriority w:val="39"/>
    <w:rsid w:val="00D666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D6664B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es-MX"/>
    </w:rPr>
  </w:style>
  <w:style w:type="paragraph" w:styleId="Prrafodelista">
    <w:name w:val="List Paragraph"/>
    <w:basedOn w:val="Normal"/>
    <w:uiPriority w:val="34"/>
    <w:qFormat/>
    <w:rsid w:val="00D6664B"/>
    <w:pPr>
      <w:ind w:left="720"/>
      <w:contextualSpacing/>
    </w:pPr>
    <w:rPr>
      <w:rFonts w:asciiTheme="minorHAnsi" w:hAnsiTheme="minorHAnsi"/>
    </w:rPr>
  </w:style>
  <w:style w:type="character" w:customStyle="1" w:styleId="A4">
    <w:name w:val="A4"/>
    <w:uiPriority w:val="99"/>
    <w:rsid w:val="00054019"/>
    <w:rPr>
      <w:rFonts w:cs="Soberana Sans"/>
      <w:color w:val="000000"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9053F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053FF"/>
    <w:rPr>
      <w:rFonts w:ascii="Segoe UI" w:hAnsi="Segoe UI" w:cs="Segoe UI"/>
      <w:sz w:val="18"/>
      <w:szCs w:val="18"/>
    </w:rPr>
  </w:style>
  <w:style w:type="paragraph" w:styleId="Sinespaciado">
    <w:name w:val="No Spacing"/>
    <w:uiPriority w:val="1"/>
    <w:qFormat/>
    <w:rsid w:val="00401572"/>
    <w:pPr>
      <w:spacing w:after="0" w:line="240" w:lineRule="auto"/>
    </w:pPr>
  </w:style>
  <w:style w:type="paragraph" w:customStyle="1" w:styleId="Default">
    <w:name w:val="Default"/>
    <w:rsid w:val="009B4DFF"/>
    <w:pPr>
      <w:autoSpaceDE w:val="0"/>
      <w:autoSpaceDN w:val="0"/>
      <w:adjustRightInd w:val="0"/>
      <w:spacing w:after="0" w:line="240" w:lineRule="auto"/>
    </w:pPr>
    <w:rPr>
      <w:rFonts w:eastAsia="Times New Roman" w:cs="Arial"/>
      <w:color w:val="000000"/>
      <w:sz w:val="24"/>
      <w:szCs w:val="24"/>
      <w:lang w:eastAsia="es-MX"/>
    </w:rPr>
  </w:style>
  <w:style w:type="character" w:styleId="Refdecomentario">
    <w:name w:val="annotation reference"/>
    <w:basedOn w:val="Fuentedeprrafopredeter"/>
    <w:uiPriority w:val="99"/>
    <w:semiHidden/>
    <w:unhideWhenUsed/>
    <w:rsid w:val="00833A60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833A60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833A60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833A60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833A60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650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7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1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7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73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1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5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44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10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2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23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32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9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9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59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76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16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microsoft.com/office/2018/08/relationships/commentsExtensible" Target="commentsExtensible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microsoft.com/office/2016/09/relationships/commentsIds" Target="commentsIds.xml"/><Relationship Id="rId17" Type="http://schemas.microsoft.com/office/2011/relationships/people" Target="people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microsoft.com/office/2011/relationships/commentsExtended" Target="commentsExtended.xml"/><Relationship Id="rId5" Type="http://schemas.openxmlformats.org/officeDocument/2006/relationships/styles" Target="styles.xml"/><Relationship Id="rId15" Type="http://schemas.openxmlformats.org/officeDocument/2006/relationships/footer" Target="footer1.xml"/><Relationship Id="rId10" Type="http://schemas.openxmlformats.org/officeDocument/2006/relationships/comments" Target="comments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3F9E2C970AB2BA46856B7C1379CD4F6E" ma:contentTypeVersion="2" ma:contentTypeDescription="Crear nuevo documento." ma:contentTypeScope="" ma:versionID="150ce3a0589c624bd0500acd964fb951">
  <xsd:schema xmlns:xsd="http://www.w3.org/2001/XMLSchema" xmlns:xs="http://www.w3.org/2001/XMLSchema" xmlns:p="http://schemas.microsoft.com/office/2006/metadata/properties" xmlns:ns2="73f46096-85d7-43af-a899-63ce49664a19" targetNamespace="http://schemas.microsoft.com/office/2006/metadata/properties" ma:root="true" ma:fieldsID="e0405c191950c7389766433332627007" ns2:_="">
    <xsd:import namespace="73f46096-85d7-43af-a899-63ce49664a19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f46096-85d7-43af-a899-63ce49664a1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Compartido con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Detalles de uso compartido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E5AE66F-F840-417C-AED1-1E2A6038843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A4F35D57-C8D6-4A84-A722-D60ADA03D84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3f46096-85d7-43af-a899-63ce49664a1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91C6AF8-F71E-4A18-9736-A5D1DCC3C1A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870</Words>
  <Characters>4789</Characters>
  <Application>Microsoft Office Word</Application>
  <DocSecurity>0</DocSecurity>
  <Lines>39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Ernesto Martínez Aguilar</dc:creator>
  <cp:lastModifiedBy>Lucero Calderon Hernandez</cp:lastModifiedBy>
  <cp:revision>4</cp:revision>
  <cp:lastPrinted>2019-03-29T03:26:00Z</cp:lastPrinted>
  <dcterms:created xsi:type="dcterms:W3CDTF">2021-06-18T13:31:00Z</dcterms:created>
  <dcterms:modified xsi:type="dcterms:W3CDTF">2021-06-18T13:41:00Z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0x0101003F9E2C970AB2BA46856B7C1379CD4F6E</vt:lpwstr>
  </property>
</Properties>
</file>